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4614" w:firstLineChars="1518"/>
        <w:jc w:val="right"/>
        <w:rPr>
          <w:rFonts w:hint="eastAsia" w:ascii="仿宋_GB2312" w:hAnsi="仿宋" w:eastAsia="仿宋_GB2312" w:cs="黑体"/>
          <w:color w:val="000000"/>
          <w:spacing w:val="-8"/>
          <w:sz w:val="32"/>
          <w:szCs w:val="32"/>
        </w:rPr>
      </w:pPr>
    </w:p>
    <w:p>
      <w:pPr>
        <w:spacing w:line="480" w:lineRule="exact"/>
        <w:ind w:firstLine="4614" w:firstLineChars="1518"/>
        <w:jc w:val="right"/>
        <w:rPr>
          <w:rFonts w:hint="eastAsia" w:ascii="仿宋_GB2312" w:hAnsi="仿宋" w:eastAsia="仿宋_GB2312" w:cs="黑体"/>
          <w:color w:val="000000"/>
          <w:spacing w:val="-8"/>
          <w:sz w:val="32"/>
          <w:szCs w:val="32"/>
        </w:rPr>
      </w:pPr>
    </w:p>
    <w:p>
      <w:pPr>
        <w:spacing w:line="480" w:lineRule="exact"/>
        <w:ind w:firstLine="4614" w:firstLineChars="1518"/>
        <w:jc w:val="right"/>
        <w:rPr>
          <w:rFonts w:hint="eastAsia" w:ascii="仿宋_GB2312" w:hAnsi="仿宋" w:eastAsia="仿宋_GB2312" w:cs="黑体"/>
          <w:color w:val="000000"/>
          <w:spacing w:val="-8"/>
          <w:sz w:val="32"/>
          <w:szCs w:val="32"/>
        </w:rPr>
      </w:pPr>
    </w:p>
    <w:p>
      <w:pPr>
        <w:spacing w:line="480" w:lineRule="exact"/>
        <w:ind w:firstLine="4614" w:firstLineChars="1518"/>
        <w:jc w:val="right"/>
        <w:rPr>
          <w:rFonts w:hint="eastAsia" w:ascii="仿宋_GB2312" w:hAnsi="仿宋" w:eastAsia="仿宋_GB2312" w:cs="黑体"/>
          <w:color w:val="000000"/>
          <w:spacing w:val="-8"/>
          <w:sz w:val="32"/>
          <w:szCs w:val="32"/>
        </w:rPr>
      </w:pPr>
    </w:p>
    <w:p>
      <w:pPr>
        <w:spacing w:line="480" w:lineRule="exact"/>
        <w:ind w:firstLine="4614" w:firstLineChars="1518"/>
        <w:jc w:val="right"/>
        <w:rPr>
          <w:rFonts w:hint="eastAsia" w:ascii="仿宋_GB2312" w:hAnsi="仿宋" w:eastAsia="仿宋_GB2312" w:cs="黑体"/>
          <w:color w:val="000000"/>
          <w:spacing w:val="-8"/>
          <w:sz w:val="32"/>
          <w:szCs w:val="32"/>
        </w:rPr>
      </w:pPr>
      <w:r>
        <w:rPr>
          <w:rFonts w:hint="eastAsia" w:ascii="仿宋_GB2312" w:hAnsi="仿宋" w:eastAsia="仿宋_GB2312" w:cs="黑体"/>
          <w:color w:val="000000"/>
          <w:spacing w:val="-8"/>
          <w:sz w:val="32"/>
          <w:szCs w:val="32"/>
        </w:rPr>
        <w:t>是否同意公开：是</w:t>
      </w:r>
    </w:p>
    <w:p>
      <w:pPr>
        <w:spacing w:line="480" w:lineRule="exact"/>
        <w:ind w:firstLine="4700" w:firstLineChars="1469"/>
        <w:jc w:val="right"/>
        <w:rPr>
          <w:rFonts w:hint="eastAsia" w:ascii="仿宋_GB2312" w:hAnsi="仿宋" w:eastAsia="仿宋_GB2312"/>
          <w:color w:val="000000"/>
          <w:sz w:val="32"/>
          <w:szCs w:val="32"/>
        </w:rPr>
      </w:pPr>
      <w:r>
        <w:rPr>
          <w:rFonts w:hint="eastAsia" w:ascii="仿宋_GB2312" w:hAnsi="仿宋" w:eastAsia="仿宋_GB2312" w:cs="宋体"/>
          <w:color w:val="000000"/>
          <w:sz w:val="32"/>
          <w:szCs w:val="32"/>
        </w:rPr>
        <w:t>办理结果：</w:t>
      </w:r>
      <w:r>
        <w:rPr>
          <w:rFonts w:hint="eastAsia" w:ascii="仿宋_GB2312" w:hAnsi="仿宋" w:eastAsia="仿宋_GB2312"/>
          <w:color w:val="000000"/>
          <w:sz w:val="32"/>
          <w:szCs w:val="32"/>
        </w:rPr>
        <w:t>A</w:t>
      </w:r>
    </w:p>
    <w:p>
      <w:pPr>
        <w:spacing w:line="480" w:lineRule="exact"/>
        <w:ind w:firstLine="4700" w:firstLineChars="1469"/>
        <w:jc w:val="right"/>
        <w:rPr>
          <w:rFonts w:hint="eastAsia" w:ascii="仿宋_GB2312" w:hAnsi="仿宋" w:eastAsia="仿宋_GB2312"/>
          <w:color w:val="000000"/>
          <w:sz w:val="32"/>
          <w:szCs w:val="32"/>
        </w:rPr>
      </w:pPr>
      <w:r>
        <w:rPr>
          <w:rFonts w:hint="eastAsia" w:ascii="仿宋_GB2312" w:hAnsi="仿宋" w:eastAsia="仿宋_GB2312" w:cs="宋体"/>
          <w:color w:val="000000"/>
          <w:sz w:val="32"/>
          <w:szCs w:val="32"/>
          <w:lang w:eastAsia="zh-CN"/>
        </w:rPr>
        <w:t>邯房</w:t>
      </w:r>
      <w:r>
        <w:rPr>
          <w:rFonts w:hint="eastAsia" w:ascii="仿宋_GB2312" w:hAnsi="仿宋" w:eastAsia="仿宋_GB2312" w:cs="宋体"/>
          <w:color w:val="000000"/>
          <w:sz w:val="32"/>
          <w:szCs w:val="32"/>
        </w:rPr>
        <w:t>案字</w:t>
      </w:r>
      <w:r>
        <w:rPr>
          <w:rFonts w:hint="eastAsia" w:ascii="仿宋_GB2312" w:hAnsi="仿宋" w:eastAsia="仿宋_GB2312" w:cs="Malgun Gothic Semilight"/>
          <w:color w:val="000000"/>
          <w:sz w:val="32"/>
          <w:szCs w:val="32"/>
        </w:rPr>
        <w:t>〔</w:t>
      </w:r>
      <w:r>
        <w:rPr>
          <w:rFonts w:hint="eastAsia" w:ascii="仿宋_GB2312" w:hAnsi="仿宋" w:eastAsia="仿宋_GB2312" w:cs="Malgun Gothic Semilight"/>
          <w:color w:val="000000"/>
          <w:sz w:val="32"/>
          <w:szCs w:val="32"/>
          <w:lang w:val="en-US" w:eastAsia="zh-CN"/>
        </w:rPr>
        <w:t>2018</w:t>
      </w:r>
      <w:r>
        <w:rPr>
          <w:rFonts w:hint="eastAsia" w:ascii="仿宋_GB2312" w:hAnsi="仿宋" w:eastAsia="仿宋_GB2312"/>
          <w:color w:val="000000"/>
          <w:sz w:val="32"/>
          <w:szCs w:val="32"/>
        </w:rPr>
        <w:t>〕</w:t>
      </w:r>
      <w:r>
        <w:rPr>
          <w:rFonts w:hint="eastAsia" w:ascii="仿宋_GB2312" w:hAnsi="仿宋" w:eastAsia="仿宋_GB2312" w:cs="宋体"/>
          <w:color w:val="000000"/>
          <w:sz w:val="32"/>
          <w:szCs w:val="32"/>
        </w:rPr>
        <w:t>第</w:t>
      </w:r>
      <w:r>
        <w:rPr>
          <w:rFonts w:hint="eastAsia" w:ascii="仿宋_GB2312" w:hAnsi="仿宋" w:eastAsia="仿宋_GB2312" w:cs="宋体"/>
          <w:color w:val="000000"/>
          <w:sz w:val="32"/>
          <w:szCs w:val="32"/>
          <w:lang w:val="en-US" w:eastAsia="zh-CN"/>
        </w:rPr>
        <w:t>20</w:t>
      </w:r>
      <w:r>
        <w:rPr>
          <w:rFonts w:hint="eastAsia" w:ascii="仿宋_GB2312" w:hAnsi="仿宋" w:eastAsia="仿宋_GB2312" w:cs="宋体"/>
          <w:color w:val="000000"/>
          <w:sz w:val="32"/>
          <w:szCs w:val="32"/>
        </w:rPr>
        <w:t>号</w:t>
      </w:r>
    </w:p>
    <w:p>
      <w:pPr>
        <w:spacing w:line="480" w:lineRule="exact"/>
        <w:ind w:firstLine="5708" w:firstLineChars="1784"/>
        <w:rPr>
          <w:rFonts w:hint="eastAsia" w:ascii="仿宋_GB2312" w:eastAsia="仿宋_GB2312"/>
          <w:color w:val="000000"/>
          <w:sz w:val="32"/>
          <w:szCs w:val="32"/>
        </w:rPr>
      </w:pPr>
    </w:p>
    <w:p>
      <w:pPr>
        <w:spacing w:line="480" w:lineRule="exact"/>
        <w:jc w:val="center"/>
        <w:rPr>
          <w:rFonts w:hint="eastAsia" w:ascii="宋体" w:hAnsi="宋体"/>
          <w:b/>
          <w:color w:val="000000"/>
          <w:sz w:val="44"/>
          <w:szCs w:val="44"/>
        </w:rPr>
      </w:pPr>
      <w:r>
        <w:rPr>
          <w:rFonts w:hint="eastAsia" w:ascii="宋体" w:hAnsi="宋体" w:cs="宋体"/>
          <w:b/>
          <w:color w:val="000000"/>
          <w:sz w:val="44"/>
          <w:szCs w:val="44"/>
        </w:rPr>
        <w:t>对政协邯郸市第</w:t>
      </w:r>
      <w:r>
        <w:rPr>
          <w:rFonts w:hint="eastAsia" w:ascii="宋体" w:hAnsi="宋体" w:cs="宋体"/>
          <w:b/>
          <w:color w:val="000000"/>
          <w:sz w:val="44"/>
          <w:szCs w:val="44"/>
          <w:lang w:eastAsia="zh-CN"/>
        </w:rPr>
        <w:t>十二</w:t>
      </w:r>
      <w:r>
        <w:rPr>
          <w:rFonts w:hint="eastAsia" w:ascii="宋体" w:hAnsi="宋体" w:cs="宋体"/>
          <w:b/>
          <w:color w:val="000000"/>
          <w:sz w:val="44"/>
          <w:szCs w:val="44"/>
        </w:rPr>
        <w:t>届委员会</w:t>
      </w:r>
    </w:p>
    <w:p>
      <w:pPr>
        <w:spacing w:line="480" w:lineRule="exact"/>
        <w:jc w:val="center"/>
        <w:rPr>
          <w:rFonts w:hint="eastAsia" w:ascii="宋体" w:hAnsi="宋体"/>
          <w:b/>
          <w:color w:val="000000"/>
          <w:sz w:val="44"/>
          <w:szCs w:val="44"/>
        </w:rPr>
      </w:pPr>
      <w:r>
        <w:rPr>
          <w:rFonts w:hint="eastAsia" w:ascii="宋体" w:hAnsi="宋体" w:cs="宋体"/>
          <w:b/>
          <w:color w:val="000000"/>
          <w:sz w:val="44"/>
          <w:szCs w:val="44"/>
        </w:rPr>
        <w:t>第</w:t>
      </w:r>
      <w:r>
        <w:rPr>
          <w:rFonts w:hint="eastAsia" w:ascii="宋体" w:hAnsi="宋体" w:cs="宋体"/>
          <w:b/>
          <w:color w:val="000000"/>
          <w:sz w:val="44"/>
          <w:szCs w:val="44"/>
          <w:lang w:eastAsia="zh-CN"/>
        </w:rPr>
        <w:t>二</w:t>
      </w:r>
      <w:r>
        <w:rPr>
          <w:rFonts w:hint="eastAsia" w:ascii="宋体" w:hAnsi="宋体" w:cs="宋体"/>
          <w:b/>
          <w:color w:val="000000"/>
          <w:sz w:val="44"/>
          <w:szCs w:val="44"/>
        </w:rPr>
        <w:t>次会议第</w:t>
      </w:r>
      <w:r>
        <w:rPr>
          <w:rFonts w:hint="eastAsia" w:ascii="宋体" w:hAnsi="宋体" w:cs="宋体"/>
          <w:b/>
          <w:color w:val="000000"/>
          <w:sz w:val="44"/>
          <w:szCs w:val="44"/>
          <w:lang w:val="en-US" w:eastAsia="zh-CN"/>
        </w:rPr>
        <w:t>157</w:t>
      </w:r>
      <w:r>
        <w:rPr>
          <w:rFonts w:hint="eastAsia" w:ascii="宋体" w:hAnsi="宋体" w:cs="宋体"/>
          <w:b/>
          <w:color w:val="000000"/>
          <w:sz w:val="44"/>
          <w:szCs w:val="44"/>
        </w:rPr>
        <w:t>号提案的答复</w:t>
      </w:r>
    </w:p>
    <w:p>
      <w:pPr>
        <w:spacing w:line="480" w:lineRule="exact"/>
        <w:rPr>
          <w:rFonts w:hint="eastAsia" w:ascii="仿宋_GB2312" w:eastAsia="仿宋_GB2312"/>
          <w:color w:val="000000"/>
          <w:sz w:val="32"/>
          <w:szCs w:val="32"/>
        </w:rPr>
      </w:pPr>
    </w:p>
    <w:p>
      <w:pPr>
        <w:spacing w:line="480" w:lineRule="exact"/>
        <w:rPr>
          <w:rFonts w:hint="eastAsia" w:ascii="仿宋_GB2312" w:eastAsia="仿宋_GB2312"/>
          <w:color w:val="000000"/>
          <w:sz w:val="32"/>
          <w:szCs w:val="32"/>
        </w:rPr>
      </w:pPr>
      <w:r>
        <w:rPr>
          <w:rFonts w:hint="eastAsia" w:ascii="仿宋_GB2312" w:eastAsia="仿宋_GB2312"/>
          <w:sz w:val="32"/>
          <w:szCs w:val="32"/>
        </w:rPr>
        <w:t>王景梅</w:t>
      </w:r>
      <w:r>
        <w:rPr>
          <w:rFonts w:hint="eastAsia" w:ascii="仿宋_GB2312" w:hAnsi="宋体" w:eastAsia="仿宋_GB2312" w:cs="宋体"/>
          <w:color w:val="000000"/>
          <w:sz w:val="32"/>
          <w:szCs w:val="32"/>
        </w:rPr>
        <w:t>委员</w:t>
      </w:r>
      <w:r>
        <w:rPr>
          <w:rFonts w:hint="eastAsia" w:ascii="仿宋_GB2312" w:hAnsi="Malgun Gothic Semilight" w:eastAsia="仿宋_GB2312" w:cs="Malgun Gothic Semilight"/>
          <w:color w:val="000000"/>
          <w:sz w:val="32"/>
          <w:szCs w:val="32"/>
        </w:rPr>
        <w:t>：</w:t>
      </w:r>
    </w:p>
    <w:p>
      <w:pPr>
        <w:keepNext w:val="0"/>
        <w:keepLines w:val="0"/>
        <w:pageBreakBefore w:val="0"/>
        <w:kinsoku/>
        <w:overflowPunct/>
        <w:topLinePunct w:val="0"/>
        <w:autoSpaceDE/>
        <w:autoSpaceDN/>
        <w:bidi w:val="0"/>
        <w:adjustRightInd/>
        <w:snapToGrid/>
        <w:spacing w:line="500" w:lineRule="exact"/>
        <w:ind w:left="0" w:leftChars="0" w:right="0" w:rightChars="0" w:firstLine="627" w:firstLineChars="196"/>
        <w:jc w:val="both"/>
        <w:textAlignment w:val="auto"/>
        <w:outlineLvl w:val="9"/>
        <w:rPr>
          <w:rFonts w:hint="eastAsia" w:ascii="仿宋_GB2312" w:eastAsia="仿宋_GB2312"/>
          <w:color w:val="000000"/>
          <w:sz w:val="32"/>
          <w:szCs w:val="32"/>
        </w:rPr>
      </w:pPr>
      <w:r>
        <w:rPr>
          <w:rFonts w:hint="eastAsia" w:ascii="仿宋_GB2312" w:hAnsi="宋体" w:eastAsia="仿宋_GB2312" w:cs="宋体"/>
          <w:color w:val="000000"/>
          <w:sz w:val="32"/>
          <w:szCs w:val="32"/>
        </w:rPr>
        <w:t>您提出的关于</w:t>
      </w:r>
      <w:r>
        <w:rPr>
          <w:rFonts w:hint="eastAsia" w:ascii="仿宋_GB2312" w:eastAsia="仿宋_GB2312"/>
          <w:sz w:val="32"/>
          <w:szCs w:val="32"/>
        </w:rPr>
        <w:t>“城市老旧小区实施改造工作”</w:t>
      </w:r>
      <w:r>
        <w:rPr>
          <w:rFonts w:hint="eastAsia" w:ascii="仿宋_GB2312" w:hAnsi="宋体" w:eastAsia="仿宋_GB2312" w:cs="宋体"/>
          <w:color w:val="000000"/>
          <w:sz w:val="32"/>
          <w:szCs w:val="32"/>
        </w:rPr>
        <w:t>的提案收悉</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现答复如下</w:t>
      </w:r>
      <w:r>
        <w:rPr>
          <w:rFonts w:hint="eastAsia" w:ascii="仿宋_GB2312" w:hAnsi="Malgun Gothic Semilight" w:eastAsia="仿宋_GB2312" w:cs="Malgun Gothic Semilight"/>
          <w:color w:val="000000"/>
          <w:sz w:val="32"/>
          <w:szCs w:val="32"/>
        </w:rPr>
        <w:t>：</w:t>
      </w:r>
    </w:p>
    <w:p>
      <w:pPr>
        <w:keepNext w:val="0"/>
        <w:keepLines w:val="0"/>
        <w:pageBreakBefore w:val="0"/>
        <w:kinsoku/>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近年来，我市大力开展以改变老旧住宅小区环境面貌、完善基本服务功能、全面提高管理水平的改造工作，全力以赴对主城区</w:t>
      </w:r>
      <w:r>
        <w:rPr>
          <w:rFonts w:hint="eastAsia" w:ascii="仿宋_GB2312" w:hAnsi="仿宋_GB2312" w:eastAsia="仿宋_GB2312" w:cs="仿宋_GB2312"/>
          <w:sz w:val="32"/>
          <w:szCs w:val="32"/>
        </w:rPr>
        <w:t>1172个老旧小区进行了全面改造提升，</w:t>
      </w:r>
      <w:r>
        <w:rPr>
          <w:rFonts w:hint="eastAsia" w:ascii="仿宋_GB2312" w:hAnsi="仿宋_GB2312" w:eastAsia="仿宋_GB2312" w:cs="仿宋_GB2312"/>
          <w:sz w:val="32"/>
          <w:szCs w:val="32"/>
          <w:shd w:val="clear" w:color="auto" w:fill="FFFFFF"/>
        </w:rPr>
        <w:t>逐步建立长效管理机制，取得了明显成效。老旧小区面貌发生了较大的变化，</w:t>
      </w:r>
      <w:r>
        <w:rPr>
          <w:rFonts w:hint="eastAsia" w:ascii="仿宋_GB2312" w:hAnsi="仿宋_GB2312" w:eastAsia="仿宋_GB2312" w:cs="仿宋_GB2312"/>
          <w:sz w:val="32"/>
          <w:szCs w:val="32"/>
        </w:rPr>
        <w:t>营造了整洁、有序、安全、舒适的宜居生活环境，</w:t>
      </w:r>
      <w:r>
        <w:rPr>
          <w:rFonts w:hint="eastAsia" w:ascii="仿宋_GB2312" w:hAnsi="仿宋_GB2312" w:eastAsia="仿宋_GB2312" w:cs="仿宋_GB2312"/>
          <w:sz w:val="32"/>
          <w:szCs w:val="32"/>
          <w:shd w:val="clear" w:color="auto" w:fill="FFFFFF"/>
        </w:rPr>
        <w:t>得到了广大人民群众的充分肯定和广泛赞誉。</w:t>
      </w:r>
    </w:p>
    <w:p>
      <w:pPr>
        <w:keepNext w:val="0"/>
        <w:keepLines w:val="0"/>
        <w:pageBreakBefore w:val="0"/>
        <w:kinsoku/>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黑体" w:hAnsi="黑体" w:eastAsia="黑体" w:cs="楷体_GB2312"/>
          <w:bCs/>
          <w:sz w:val="32"/>
          <w:szCs w:val="32"/>
        </w:rPr>
      </w:pPr>
      <w:r>
        <w:rPr>
          <w:rFonts w:hint="eastAsia" w:ascii="仿宋_GB2312" w:hAnsi="仿宋_GB2312" w:eastAsia="仿宋_GB2312" w:cs="仿宋_GB2312"/>
          <w:sz w:val="32"/>
          <w:szCs w:val="32"/>
          <w:shd w:val="clear" w:color="auto" w:fill="FFFFFF"/>
        </w:rPr>
        <w:t>我市主城区范围内老旧小区共有1172个，建筑面积1600万平方米，18.98万户，占城市居民总户数47.59%。这些小区一般规模小、零散、敞开式，卫生环境脏乱差，道路失修和设施设备陈旧、老化，配套不完善、不健全。居住者大多为中低收入家庭，而且多数为下岗职工，无力购买改善性住房的困难群体，改善老旧小区居住环境和面貌势在必行。近几年来，我市加大对老旧小区的整治和加强管理，极大改善了老旧小区的居住环境。</w:t>
      </w:r>
    </w:p>
    <w:p>
      <w:pPr>
        <w:keepNext w:val="0"/>
        <w:keepLines w:val="0"/>
        <w:pageBreakBefore w:val="0"/>
        <w:widowControl/>
        <w:kinsoku/>
        <w:wordWrap w:val="0"/>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eastAsia="zh-CN"/>
        </w:rPr>
        <w:t>一、</w:t>
      </w:r>
      <w:r>
        <w:rPr>
          <w:rFonts w:hint="eastAsia" w:ascii="仿宋_GB2312" w:hAnsi="仿宋_GB2312" w:eastAsia="仿宋_GB2312" w:cs="仿宋_GB2312"/>
          <w:b/>
          <w:kern w:val="0"/>
          <w:sz w:val="32"/>
          <w:szCs w:val="32"/>
        </w:rPr>
        <w:t>政策引领</w:t>
      </w:r>
    </w:p>
    <w:p>
      <w:pPr>
        <w:keepNext w:val="0"/>
        <w:keepLines w:val="0"/>
        <w:pageBreakBefore w:val="0"/>
        <w:widowControl/>
        <w:kinsoku/>
        <w:wordWrap w:val="0"/>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8月、11月，我市相继出台了《邯郸市主城区“美丽小区”创建工作实施方案》《邯郸市老旧住宅小区基本物业服务管理办法》，确定以创建“文明城市”、“洁净城市”为统揽，按照城市精细化管理要求，动员各级各单位和社会各方面力量，调动广大居民参与的积极性，对老旧小区大力实施“违章清除、基础设施、绿化提升、环境卫生、房屋维修、管理秩序、治安防范”七项集中整治，努力实现“基础设施、物业管理、环境容貌和居民幸福指数”四个提升，全力打造舒适宜居“美丽小区”的工作思路，全面启动了老旧小区改造工作。2017年，按照市委、市政府创建全国文明城总体部署，把社区改造提升工作和全面提升老旧小区物业管理水平作为创建国家文明城市的重要突破口，制定了《主城区老旧小区物业管理实施方案》，将主城区37个街道办事处按照街、路框架，划分为270个物业管理网格，大力推进老旧小区物业管理工作，对引进物业企业进行管理的老旧小区，市财政列支5000万元予以奖补，力争用三年时间实现物业管理全覆盖，为老旧小区建立长效管理机制奠定了良好基础。为切实解决我市老旧小区在安全设施、市政配套、环境治理等方面存在的问题，进一步提升老旧小区生活品质，根据重点工作安排，今年5月，我市印发了《邯郸市推进老旧小区改造工作方案》，遵照政府主导，居民参与；突出重点，响应需求；示范引领，政策扶持；创新机制，治管并举的基本原则，通过三年努力，基本完成我市老旧小区改造工作，为广大居民营造整洁、有序、安全、舒适的生活环境，使老旧小区居民的居住条件和生活品质得到明显提升，进一步增强群众的获得感、幸福感、安全感。</w:t>
      </w:r>
    </w:p>
    <w:p>
      <w:pPr>
        <w:keepNext w:val="0"/>
        <w:keepLines w:val="0"/>
        <w:pageBreakBefore w:val="0"/>
        <w:kinsoku/>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eastAsia="zh-CN"/>
        </w:rPr>
        <w:t>二、</w:t>
      </w:r>
      <w:r>
        <w:rPr>
          <w:rFonts w:hint="eastAsia" w:ascii="仿宋_GB2312" w:hAnsi="仿宋_GB2312" w:eastAsia="仿宋_GB2312" w:cs="仿宋_GB2312"/>
          <w:b/>
          <w:kern w:val="0"/>
          <w:sz w:val="32"/>
          <w:szCs w:val="32"/>
        </w:rPr>
        <w:t>措施到位</w:t>
      </w:r>
    </w:p>
    <w:p>
      <w:pPr>
        <w:keepNext w:val="0"/>
        <w:keepLines w:val="0"/>
        <w:pageBreakBefore w:val="0"/>
        <w:kinsoku/>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旧小区改造工作由市政府统一领导和组织，我局为此项工作的牵头部门，负责牵总协调主城区老旧小区改造工作。各区政府、街道办事处和社区具体实施老旧小区改造提升工作，市有关部门和相关单位密切配合，共同促进老旧小区改造提升工作协调推进。在具体实施过程中，我们充分发挥和调动各单位、社区居民、机关干部、退休老干部、老党员、大中专院校学生、各方志愿者共同参与。通过电视台、微信公众平台、文化墙、宣传标语、志愿者入户服务等多种形式，全方位、立体式、高频次宣讲老旧小区改造提升意义，使广大居民明确责任和义务，切实增强群众的责任感和获得感。共发放宣传单13万余份，入户调查、征求业主改造意见和建议3万余条，广泛发动社会力量，动员志愿者义务劳动5万余人次。在改造中我市还开展了单位结对帮扶活动，辖区内中直、省直、市直党政机关企事业单位开展结对帮扶，制定了单位帮扶责任，各帮扶单位和小区物业开展共建，本着发挥各自优势，分工负责，相互配合，共同推进的原则，明确职责分工，解决了资金、人力、物力难题，形成了强大工作合力。</w:t>
      </w:r>
    </w:p>
    <w:p>
      <w:pPr>
        <w:keepNext w:val="0"/>
        <w:keepLines w:val="0"/>
        <w:pageBreakBefore w:val="0"/>
        <w:kinsoku/>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eastAsia="zh-CN"/>
        </w:rPr>
        <w:t>三、</w:t>
      </w:r>
      <w:r>
        <w:rPr>
          <w:rFonts w:hint="eastAsia" w:ascii="仿宋_GB2312" w:hAnsi="仿宋_GB2312" w:eastAsia="仿宋_GB2312" w:cs="仿宋_GB2312"/>
          <w:b/>
          <w:kern w:val="0"/>
          <w:sz w:val="32"/>
          <w:szCs w:val="32"/>
        </w:rPr>
        <w:t>强力督导</w:t>
      </w:r>
    </w:p>
    <w:p>
      <w:pPr>
        <w:keepNext w:val="0"/>
        <w:keepLines w:val="0"/>
        <w:pageBreakBefore w:val="0"/>
        <w:kinsoku/>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由市政府主管副市长任组长，市政府主管副秘书长、市房管局局长任副组长，相关职能部门和各县（市、区）政府（管委会）主管负责同志为成员的邯郸市老旧小区改造工作领导小组。并且建立我市老旧小区改造工作考核办法，建立月通报、季排名、年考核制度，加强对各县（市、区）老旧小区改造工作落实的巡查督导，确保老旧小区改造工作顺利推进。</w:t>
      </w:r>
    </w:p>
    <w:p>
      <w:pPr>
        <w:keepNext w:val="0"/>
        <w:keepLines w:val="0"/>
        <w:pageBreakBefore w:val="0"/>
        <w:kinsoku/>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eastAsia="zh-CN"/>
        </w:rPr>
        <w:t>四、</w:t>
      </w:r>
      <w:r>
        <w:rPr>
          <w:rFonts w:hint="eastAsia" w:ascii="仿宋_GB2312" w:hAnsi="仿宋_GB2312" w:eastAsia="仿宋_GB2312" w:cs="仿宋_GB2312"/>
          <w:b/>
          <w:kern w:val="0"/>
          <w:sz w:val="32"/>
          <w:szCs w:val="32"/>
        </w:rPr>
        <w:t>长效管理</w:t>
      </w:r>
    </w:p>
    <w:p>
      <w:pPr>
        <w:keepNext w:val="0"/>
        <w:keepLines w:val="0"/>
        <w:pageBreakBefore w:val="0"/>
        <w:shd w:val="clear" w:color="auto" w:fill="FFFFFF"/>
        <w:kinsoku/>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为进一步规范老旧小区管理，改变老旧小区物业管理缺失的现状，实现物业管理全覆盖，在市委、市政府领导的大力支持下，老旧小区专业化物业管理工作正在全面铺开，以“先行试点，总结推广”的思路逐步扩大覆盖面。各区按照因地制宜、方便管理、标杆先行的原则，划分了270个物业管理网格，物业服务企业实行网格化管理。各区对街道办事处、社区、业主委员会和部分居民代表进行引进物业服务企业的培训，通过以会代训、现场观摩等方式，强力推进物业服务企业入驻老旧小区工作。</w:t>
      </w:r>
    </w:p>
    <w:p>
      <w:pPr>
        <w:keepNext w:val="0"/>
        <w:keepLines w:val="0"/>
        <w:pageBreakBefore w:val="0"/>
        <w:kinsoku/>
        <w:overflowPunct/>
        <w:topLinePunct w:val="0"/>
        <w:autoSpaceDE/>
        <w:autoSpaceDN/>
        <w:bidi w:val="0"/>
        <w:adjustRightInd/>
        <w:snapToGrid/>
        <w:spacing w:line="500" w:lineRule="exact"/>
        <w:ind w:left="0" w:leftChars="0" w:right="0" w:rightChars="0" w:firstLine="645"/>
        <w:jc w:val="both"/>
        <w:textAlignment w:val="auto"/>
        <w:outlineLvl w:val="9"/>
        <w:rPr>
          <w:rFonts w:hint="eastAsia" w:ascii="仿宋_GB2312" w:eastAsia="仿宋_GB2312"/>
          <w:sz w:val="32"/>
          <w:szCs w:val="32"/>
        </w:rPr>
      </w:pPr>
      <w:r>
        <w:rPr>
          <w:rFonts w:hint="eastAsia" w:ascii="仿宋_GB2312" w:eastAsia="仿宋_GB2312"/>
          <w:sz w:val="32"/>
          <w:szCs w:val="32"/>
        </w:rPr>
        <w:t>下一步，我们将会同各相关职能部门和各县（市、区）政府，凝心聚力，强力推进老旧小区改造工作，并且做好宣传动员，充分调动群众积极性，发挥居民力量，切实改变老旧小区居住环境。同时，也欢迎您继续关注我们的工作，并多提出宝贵意见。</w:t>
      </w:r>
    </w:p>
    <w:p>
      <w:pPr>
        <w:spacing w:line="480" w:lineRule="exact"/>
        <w:ind w:firstLine="627" w:firstLineChars="196"/>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7" w:firstLineChars="196"/>
        <w:jc w:val="both"/>
        <w:textAlignment w:val="auto"/>
        <w:outlineLvl w:val="9"/>
        <w:rPr>
          <w:rFonts w:hint="eastAsia" w:ascii="仿宋_GB2312" w:eastAsia="仿宋_GB2312"/>
          <w:sz w:val="32"/>
          <w:szCs w:val="32"/>
        </w:rPr>
      </w:pPr>
      <w:r>
        <w:rPr>
          <w:rFonts w:hint="eastAsia" w:ascii="仿宋_GB2312" w:hAnsi="宋体" w:eastAsia="仿宋_GB2312" w:cs="宋体"/>
          <w:sz w:val="32"/>
          <w:szCs w:val="32"/>
        </w:rPr>
        <w:t>您对以上办理情况有何意见</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请填写</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政协提案办理情况征询意见表</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附后</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并及时反馈</w:t>
      </w:r>
      <w:r>
        <w:rPr>
          <w:rFonts w:hint="eastAsia" w:ascii="仿宋_GB2312" w:hAnsi="Malgun Gothic Semilight" w:eastAsia="仿宋_GB2312" w:cs="Malgun Gothic Semilight"/>
          <w:sz w:val="32"/>
          <w:szCs w:val="32"/>
        </w:rPr>
        <w:t>。</w:t>
      </w:r>
    </w:p>
    <w:p>
      <w:pPr>
        <w:spacing w:line="480" w:lineRule="exact"/>
        <w:rPr>
          <w:rFonts w:hint="eastAsia" w:ascii="仿宋_GB2312" w:hAnsi="宋体" w:eastAsia="仿宋_GB2312" w:cs="宋体"/>
          <w:color w:val="000000"/>
          <w:sz w:val="32"/>
          <w:szCs w:val="32"/>
        </w:rPr>
      </w:pPr>
    </w:p>
    <w:p>
      <w:pPr>
        <w:spacing w:line="480" w:lineRule="exact"/>
        <w:ind w:firstLine="6092" w:firstLineChars="1904"/>
        <w:rPr>
          <w:rFonts w:hint="eastAsia" w:ascii="仿宋_GB2312" w:eastAsia="仿宋_GB2312"/>
          <w:color w:val="000000"/>
          <w:sz w:val="32"/>
          <w:szCs w:val="32"/>
        </w:rPr>
      </w:pPr>
    </w:p>
    <w:p>
      <w:pPr>
        <w:spacing w:line="480" w:lineRule="exact"/>
        <w:ind w:firstLine="5939" w:firstLineChars="1856"/>
        <w:jc w:val="right"/>
        <w:rPr>
          <w:rFonts w:hint="eastAsia" w:ascii="仿宋_GB2312" w:eastAsia="仿宋_GB2312"/>
          <w:color w:val="000000"/>
          <w:sz w:val="32"/>
          <w:szCs w:val="32"/>
        </w:rPr>
      </w:pPr>
      <w:r>
        <w:rPr>
          <w:rFonts w:hint="eastAsia" w:ascii="仿宋_GB2312" w:hAnsi="宋体" w:eastAsia="仿宋_GB2312" w:cs="宋体"/>
          <w:color w:val="000000"/>
          <w:sz w:val="32"/>
          <w:szCs w:val="32"/>
          <w:lang w:val="en-US" w:eastAsia="zh-CN"/>
        </w:rPr>
        <w:t>2018</w:t>
      </w:r>
      <w:r>
        <w:rPr>
          <w:rFonts w:hint="eastAsia" w:ascii="仿宋_GB2312" w:hAnsi="宋体" w:eastAsia="仿宋_GB2312" w:cs="宋体"/>
          <w:color w:val="000000"/>
          <w:sz w:val="32"/>
          <w:szCs w:val="32"/>
        </w:rPr>
        <w:t>年</w:t>
      </w:r>
      <w:r>
        <w:rPr>
          <w:rFonts w:hint="eastAsia" w:ascii="仿宋_GB2312" w:hAnsi="宋体" w:eastAsia="仿宋_GB2312" w:cs="宋体"/>
          <w:color w:val="000000"/>
          <w:sz w:val="32"/>
          <w:szCs w:val="32"/>
          <w:lang w:val="en-US" w:eastAsia="zh-CN"/>
        </w:rPr>
        <w:t>7</w:t>
      </w:r>
      <w:r>
        <w:rPr>
          <w:rFonts w:hint="eastAsia" w:ascii="仿宋_GB2312" w:hAnsi="宋体" w:eastAsia="仿宋_GB2312" w:cs="宋体"/>
          <w:color w:val="000000"/>
          <w:sz w:val="32"/>
          <w:szCs w:val="32"/>
        </w:rPr>
        <w:t>月</w:t>
      </w:r>
      <w:r>
        <w:rPr>
          <w:rFonts w:hint="eastAsia" w:ascii="仿宋_GB2312" w:hAnsi="宋体" w:eastAsia="仿宋_GB2312" w:cs="宋体"/>
          <w:color w:val="000000"/>
          <w:sz w:val="32"/>
          <w:szCs w:val="32"/>
          <w:lang w:val="en-US" w:eastAsia="zh-CN"/>
        </w:rPr>
        <w:t>13</w:t>
      </w:r>
      <w:r>
        <w:rPr>
          <w:rFonts w:hint="eastAsia" w:ascii="仿宋_GB2312" w:hAnsi="宋体" w:eastAsia="仿宋_GB2312" w:cs="宋体"/>
          <w:color w:val="000000"/>
          <w:sz w:val="32"/>
          <w:szCs w:val="32"/>
        </w:rPr>
        <w:t>日</w:t>
      </w:r>
    </w:p>
    <w:p>
      <w:pPr>
        <w:spacing w:line="480" w:lineRule="exact"/>
        <w:rPr>
          <w:rFonts w:hint="eastAsia" w:ascii="仿宋_GB2312" w:eastAsia="仿宋_GB2312"/>
          <w:color w:val="000000"/>
          <w:sz w:val="32"/>
          <w:szCs w:val="32"/>
        </w:rPr>
      </w:pPr>
    </w:p>
    <w:p>
      <w:pPr>
        <w:spacing w:line="480" w:lineRule="exact"/>
        <w:rPr>
          <w:rFonts w:hint="eastAsia" w:ascii="仿宋_GB2312" w:eastAsia="仿宋_GB2312"/>
          <w:color w:val="000000"/>
          <w:sz w:val="32"/>
          <w:szCs w:val="32"/>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王兆社</w:t>
      </w:r>
    </w:p>
    <w:p>
      <w:pPr>
        <w:spacing w:line="480" w:lineRule="exact"/>
        <w:rPr>
          <w:rFonts w:hint="eastAsia" w:ascii="仿宋_GB2312" w:eastAsia="仿宋_GB2312"/>
          <w:color w:val="000000"/>
          <w:sz w:val="32"/>
          <w:szCs w:val="32"/>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李雪</w:t>
      </w:r>
      <w:r>
        <w:rPr>
          <w:rFonts w:hint="eastAsia" w:ascii="仿宋_GB2312" w:hAnsi="Malgun Gothic Semilight" w:eastAsia="仿宋_GB2312" w:cs="Malgun Gothic Semilight"/>
          <w:color w:val="000000"/>
          <w:sz w:val="32"/>
          <w:szCs w:val="32"/>
          <w:lang w:val="en-US" w:eastAsia="zh-CN"/>
        </w:rPr>
        <w:t xml:space="preserve"> 3271086</w:t>
      </w:r>
      <w:bookmarkStart w:id="0" w:name="_GoBack"/>
      <w:bookmarkEnd w:id="0"/>
    </w:p>
    <w:p>
      <w:pPr>
        <w:spacing w:line="480" w:lineRule="exact"/>
        <w:ind w:left="1037" w:hanging="940" w:hangingChars="294"/>
        <w:rPr>
          <w:rFonts w:hint="eastAsia" w:ascii="仿宋_GB2312" w:eastAsia="仿宋_GB2312"/>
          <w:color w:val="000000"/>
          <w:sz w:val="32"/>
          <w:szCs w:val="32"/>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市政协提案委员会</w:t>
      </w:r>
      <w:r>
        <w:rPr>
          <w:rFonts w:hint="eastAsia" w:ascii="仿宋_GB2312" w:hAnsi="Malgun Gothic Semilight" w:eastAsia="仿宋_GB2312" w:cs="Malgun Gothic Semilight"/>
          <w:color w:val="00000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60C3A"/>
    <w:rsid w:val="4FBB6A31"/>
    <w:rsid w:val="591B5E8B"/>
    <w:rsid w:val="6E060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2018-07-19T02:11:00Z</dcterms:created>
  <dc:creator>Administrator</dc:creator>
  <cp:lastModifiedBy>Administrator</cp:lastModifiedBy>
  <cp:lastPrinted>2018-07-19T03:41:43Z</cp:lastPrinted>
  <dcterms:modified xsi:type="dcterms:W3CDTF">2018-07-19T06:54:39Z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