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81E6BD">
      <w:pPr>
        <w:pStyle w:val="4"/>
        <w:keepNext/>
        <w:keepLines/>
        <w:pageBreakBefore w:val="0"/>
        <w:widowControl w:val="0"/>
        <w:kinsoku/>
        <w:wordWrap/>
        <w:overflowPunct/>
        <w:topLinePunct w:val="0"/>
        <w:autoSpaceDE/>
        <w:autoSpaceDN/>
        <w:bidi w:val="0"/>
        <w:adjustRightInd/>
        <w:snapToGrid w:val="0"/>
        <w:spacing w:before="0" w:beforeLines="0" w:beforeAutospacing="0" w:after="0" w:afterLines="0" w:afterAutospacing="0"/>
        <w:ind w:firstLine="321" w:firstLineChars="100"/>
        <w:jc w:val="center"/>
        <w:textAlignment w:val="auto"/>
        <w:rPr>
          <w:rFonts w:hint="eastAsia" w:ascii="方正黑体_GBK" w:hAnsi="方正黑体_GBK" w:eastAsia="方正黑体_GBK" w:cs="方正黑体_GBK"/>
          <w:b/>
          <w:bCs/>
          <w:color w:val="auto"/>
          <w:kern w:val="2"/>
          <w:sz w:val="32"/>
          <w:szCs w:val="32"/>
          <w:lang w:val="en-US" w:eastAsia="zh-CN" w:bidi="ar-SA"/>
        </w:rPr>
      </w:pPr>
      <w:r>
        <w:rPr>
          <w:rFonts w:hint="eastAsia" w:ascii="方正黑体_GBK" w:hAnsi="方正黑体_GBK" w:eastAsia="方正黑体_GBK" w:cs="方正黑体_GBK"/>
          <w:b/>
          <w:bCs/>
          <w:color w:val="auto"/>
          <w:kern w:val="2"/>
          <w:sz w:val="32"/>
          <w:szCs w:val="32"/>
          <w:lang w:val="en-US" w:eastAsia="zh-CN" w:bidi="ar-SA"/>
        </w:rPr>
        <w:t>邯郸市住房城乡建设领域涉企行政处罚裁量基准目录清单</w:t>
      </w:r>
    </w:p>
    <w:tbl>
      <w:tblPr>
        <w:tblStyle w:val="6"/>
        <w:tblW w:w="149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80"/>
        <w:gridCol w:w="1166"/>
        <w:gridCol w:w="1329"/>
        <w:gridCol w:w="1626"/>
        <w:gridCol w:w="437"/>
        <w:gridCol w:w="1339"/>
        <w:gridCol w:w="1191"/>
        <w:gridCol w:w="4252"/>
        <w:gridCol w:w="1701"/>
        <w:gridCol w:w="1191"/>
      </w:tblGrid>
      <w:tr w14:paraId="44036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680" w:type="dxa"/>
            <w:shd w:val="clear" w:color="auto" w:fill="auto"/>
            <w:noWrap w:val="0"/>
            <w:vAlign w:val="center"/>
          </w:tcPr>
          <w:p w14:paraId="5A36729D">
            <w:pPr>
              <w:pageBreakBefore w:val="0"/>
              <w:kinsoku/>
              <w:wordWrap/>
              <w:overflowPunct/>
              <w:topLinePunct w:val="0"/>
              <w:bidi w:val="0"/>
              <w:spacing w:beforeAutospacing="0" w:afterAutospacing="0"/>
              <w:jc w:val="center"/>
              <w:rPr>
                <w:rFonts w:hint="eastAsia" w:ascii="方正仿宋简体" w:hAnsi="方正仿宋简体" w:eastAsia="方正仿宋简体" w:cs="方正仿宋简体"/>
                <w:b/>
                <w:bCs/>
                <w:color w:val="auto"/>
                <w:kern w:val="0"/>
                <w:sz w:val="21"/>
                <w:szCs w:val="21"/>
                <w:lang w:val="en-US" w:eastAsia="zh-CN"/>
              </w:rPr>
            </w:pPr>
            <w:r>
              <w:rPr>
                <w:rFonts w:hint="eastAsia" w:ascii="方正仿宋简体" w:hAnsi="方正仿宋简体" w:eastAsia="方正仿宋_GBK" w:cs="方正仿宋简体"/>
                <w:b/>
                <w:bCs/>
                <w:color w:val="auto"/>
                <w:kern w:val="0"/>
                <w:sz w:val="21"/>
                <w:szCs w:val="21"/>
                <w:lang w:val="en-US" w:eastAsia="zh-CN"/>
              </w:rPr>
              <w:t>序号</w:t>
            </w:r>
          </w:p>
        </w:tc>
        <w:tc>
          <w:tcPr>
            <w:tcW w:w="1166" w:type="dxa"/>
            <w:shd w:val="clear" w:color="auto" w:fill="auto"/>
            <w:noWrap w:val="0"/>
            <w:vAlign w:val="center"/>
          </w:tcPr>
          <w:p w14:paraId="4FAAE8BD">
            <w:pPr>
              <w:pageBreakBefore w:val="0"/>
              <w:kinsoku/>
              <w:wordWrap/>
              <w:overflowPunct/>
              <w:topLinePunct w:val="0"/>
              <w:bidi w:val="0"/>
              <w:spacing w:beforeAutospacing="0" w:afterAutospacing="0"/>
              <w:jc w:val="center"/>
              <w:rPr>
                <w:rFonts w:hint="eastAsia" w:ascii="方正仿宋简体" w:hAnsi="方正仿宋简体" w:eastAsia="方正仿宋简体" w:cs="方正仿宋简体"/>
                <w:b/>
                <w:bCs/>
                <w:color w:val="auto"/>
                <w:kern w:val="0"/>
                <w:sz w:val="21"/>
                <w:szCs w:val="21"/>
                <w:lang w:val="en-US" w:eastAsia="zh-CN"/>
              </w:rPr>
            </w:pPr>
            <w:r>
              <w:rPr>
                <w:rFonts w:hint="eastAsia" w:ascii="方正仿宋简体" w:hAnsi="方正仿宋简体" w:eastAsia="方正仿宋_GBK" w:cs="方正仿宋简体"/>
                <w:b/>
                <w:bCs/>
                <w:color w:val="auto"/>
                <w:kern w:val="0"/>
                <w:sz w:val="21"/>
                <w:szCs w:val="21"/>
                <w:lang w:val="en-US" w:eastAsia="zh-CN"/>
              </w:rPr>
              <w:t>基准编号</w:t>
            </w:r>
          </w:p>
        </w:tc>
        <w:tc>
          <w:tcPr>
            <w:tcW w:w="1329" w:type="dxa"/>
            <w:shd w:val="clear" w:color="auto" w:fill="auto"/>
            <w:noWrap w:val="0"/>
            <w:vAlign w:val="center"/>
          </w:tcPr>
          <w:p w14:paraId="5DC70E1C">
            <w:pPr>
              <w:pageBreakBefore w:val="0"/>
              <w:kinsoku/>
              <w:wordWrap/>
              <w:overflowPunct/>
              <w:topLinePunct w:val="0"/>
              <w:bidi w:val="0"/>
              <w:spacing w:beforeAutospacing="0" w:afterAutospacing="0"/>
              <w:jc w:val="center"/>
              <w:rPr>
                <w:rFonts w:hint="eastAsia" w:ascii="方正仿宋简体" w:hAnsi="方正仿宋简体" w:eastAsia="方正仿宋简体" w:cs="方正仿宋简体"/>
                <w:b/>
                <w:bCs/>
                <w:color w:val="auto"/>
                <w:kern w:val="0"/>
                <w:sz w:val="21"/>
                <w:szCs w:val="21"/>
                <w:lang w:val="en-US" w:eastAsia="zh-CN"/>
              </w:rPr>
            </w:pPr>
            <w:r>
              <w:rPr>
                <w:rFonts w:hint="eastAsia" w:ascii="方正仿宋简体" w:hAnsi="方正仿宋简体" w:eastAsia="方正仿宋_GBK" w:cs="方正仿宋简体"/>
                <w:b/>
                <w:bCs/>
                <w:color w:val="auto"/>
                <w:kern w:val="0"/>
                <w:sz w:val="21"/>
                <w:szCs w:val="21"/>
                <w:lang w:val="en-US" w:eastAsia="zh-CN"/>
              </w:rPr>
              <w:t>违法行为</w:t>
            </w:r>
          </w:p>
        </w:tc>
        <w:tc>
          <w:tcPr>
            <w:tcW w:w="2063" w:type="dxa"/>
            <w:gridSpan w:val="2"/>
            <w:shd w:val="clear" w:color="auto" w:fill="auto"/>
            <w:noWrap w:val="0"/>
            <w:vAlign w:val="center"/>
          </w:tcPr>
          <w:p w14:paraId="50B24198">
            <w:pPr>
              <w:pageBreakBefore w:val="0"/>
              <w:kinsoku/>
              <w:wordWrap/>
              <w:overflowPunct/>
              <w:topLinePunct w:val="0"/>
              <w:bidi w:val="0"/>
              <w:spacing w:beforeAutospacing="0" w:afterAutospacing="0"/>
              <w:jc w:val="center"/>
              <w:rPr>
                <w:rFonts w:hint="eastAsia" w:ascii="方正仿宋简体" w:hAnsi="方正仿宋简体" w:eastAsia="方正仿宋简体" w:cs="方正仿宋简体"/>
                <w:b/>
                <w:bCs/>
                <w:color w:val="auto"/>
                <w:kern w:val="0"/>
                <w:sz w:val="21"/>
                <w:szCs w:val="21"/>
                <w:lang w:val="en-US" w:eastAsia="zh-CN"/>
              </w:rPr>
            </w:pPr>
            <w:r>
              <w:rPr>
                <w:rFonts w:hint="eastAsia" w:ascii="方正仿宋简体" w:hAnsi="方正仿宋简体" w:eastAsia="方正仿宋_GBK" w:cs="方正仿宋简体"/>
                <w:b/>
                <w:bCs/>
                <w:color w:val="auto"/>
                <w:kern w:val="0"/>
                <w:sz w:val="21"/>
                <w:szCs w:val="21"/>
                <w:lang w:val="en-US" w:eastAsia="zh-CN"/>
              </w:rPr>
              <w:t>违反条款</w:t>
            </w:r>
          </w:p>
        </w:tc>
        <w:tc>
          <w:tcPr>
            <w:tcW w:w="1339" w:type="dxa"/>
            <w:shd w:val="clear" w:color="auto" w:fill="auto"/>
            <w:noWrap w:val="0"/>
            <w:vAlign w:val="center"/>
          </w:tcPr>
          <w:p w14:paraId="6C7C4A82">
            <w:pPr>
              <w:pageBreakBefore w:val="0"/>
              <w:kinsoku/>
              <w:wordWrap/>
              <w:overflowPunct/>
              <w:topLinePunct w:val="0"/>
              <w:bidi w:val="0"/>
              <w:spacing w:beforeAutospacing="0" w:afterAutospacing="0"/>
              <w:jc w:val="center"/>
              <w:rPr>
                <w:rFonts w:hint="eastAsia" w:ascii="方正仿宋简体" w:hAnsi="方正仿宋简体" w:eastAsia="方正仿宋简体" w:cs="方正仿宋简体"/>
                <w:b/>
                <w:bCs/>
                <w:color w:val="auto"/>
                <w:kern w:val="0"/>
                <w:sz w:val="21"/>
                <w:szCs w:val="21"/>
                <w:lang w:val="en-US" w:eastAsia="zh-CN"/>
              </w:rPr>
            </w:pPr>
            <w:r>
              <w:rPr>
                <w:rFonts w:hint="eastAsia" w:ascii="方正仿宋简体" w:hAnsi="方正仿宋简体" w:eastAsia="方正仿宋_GBK" w:cs="方正仿宋简体"/>
                <w:b/>
                <w:bCs/>
                <w:color w:val="auto"/>
                <w:kern w:val="0"/>
                <w:sz w:val="21"/>
                <w:szCs w:val="21"/>
                <w:lang w:val="en-US" w:eastAsia="zh-CN"/>
              </w:rPr>
              <w:t>处罚依据</w:t>
            </w:r>
          </w:p>
        </w:tc>
        <w:tc>
          <w:tcPr>
            <w:tcW w:w="1191" w:type="dxa"/>
            <w:shd w:val="clear" w:color="auto" w:fill="auto"/>
            <w:noWrap w:val="0"/>
            <w:vAlign w:val="center"/>
          </w:tcPr>
          <w:p w14:paraId="1532B8F2">
            <w:pPr>
              <w:pageBreakBefore w:val="0"/>
              <w:kinsoku/>
              <w:wordWrap/>
              <w:overflowPunct/>
              <w:topLinePunct w:val="0"/>
              <w:bidi w:val="0"/>
              <w:spacing w:beforeAutospacing="0" w:afterAutospacing="0"/>
              <w:jc w:val="center"/>
              <w:rPr>
                <w:rFonts w:hint="eastAsia" w:ascii="方正仿宋简体" w:hAnsi="方正仿宋简体" w:eastAsia="方正仿宋简体" w:cs="方正仿宋简体"/>
                <w:b/>
                <w:bCs/>
                <w:color w:val="auto"/>
                <w:kern w:val="0"/>
                <w:sz w:val="21"/>
                <w:szCs w:val="21"/>
                <w:lang w:val="en-US" w:eastAsia="zh-CN"/>
              </w:rPr>
            </w:pPr>
            <w:r>
              <w:rPr>
                <w:rFonts w:hint="eastAsia" w:ascii="方正仿宋简体" w:hAnsi="方正仿宋简体" w:eastAsia="方正仿宋_GBK" w:cs="方正仿宋简体"/>
                <w:b/>
                <w:bCs/>
                <w:color w:val="auto"/>
                <w:kern w:val="0"/>
                <w:sz w:val="21"/>
                <w:szCs w:val="21"/>
                <w:lang w:val="en-US" w:eastAsia="zh-CN"/>
              </w:rPr>
              <w:t>裁量幅度</w:t>
            </w:r>
          </w:p>
        </w:tc>
        <w:tc>
          <w:tcPr>
            <w:tcW w:w="4252" w:type="dxa"/>
            <w:shd w:val="clear" w:color="auto" w:fill="auto"/>
            <w:noWrap w:val="0"/>
            <w:vAlign w:val="center"/>
          </w:tcPr>
          <w:p w14:paraId="21551D56">
            <w:pPr>
              <w:pageBreakBefore w:val="0"/>
              <w:kinsoku/>
              <w:wordWrap/>
              <w:overflowPunct/>
              <w:topLinePunct w:val="0"/>
              <w:bidi w:val="0"/>
              <w:spacing w:beforeAutospacing="0" w:afterAutospacing="0"/>
              <w:jc w:val="center"/>
              <w:rPr>
                <w:rFonts w:hint="eastAsia" w:ascii="方正仿宋简体" w:hAnsi="方正仿宋简体" w:eastAsia="方正仿宋简体" w:cs="方正仿宋简体"/>
                <w:b/>
                <w:bCs/>
                <w:color w:val="auto"/>
                <w:kern w:val="0"/>
                <w:sz w:val="21"/>
                <w:szCs w:val="21"/>
                <w:lang w:val="en-US" w:eastAsia="zh-CN"/>
              </w:rPr>
            </w:pPr>
            <w:r>
              <w:rPr>
                <w:rFonts w:hint="eastAsia" w:ascii="方正仿宋简体" w:hAnsi="方正仿宋简体" w:eastAsia="方正仿宋_GBK" w:cs="方正仿宋简体"/>
                <w:b/>
                <w:bCs/>
                <w:color w:val="auto"/>
                <w:kern w:val="0"/>
                <w:sz w:val="21"/>
                <w:szCs w:val="21"/>
                <w:lang w:val="en-US" w:eastAsia="zh-CN"/>
              </w:rPr>
              <w:t>违法情节和后果</w:t>
            </w:r>
          </w:p>
        </w:tc>
        <w:tc>
          <w:tcPr>
            <w:tcW w:w="1701" w:type="dxa"/>
            <w:shd w:val="clear" w:color="auto" w:fill="auto"/>
            <w:noWrap w:val="0"/>
            <w:vAlign w:val="center"/>
          </w:tcPr>
          <w:p w14:paraId="266022DB">
            <w:pPr>
              <w:pageBreakBefore w:val="0"/>
              <w:kinsoku/>
              <w:wordWrap/>
              <w:overflowPunct/>
              <w:topLinePunct w:val="0"/>
              <w:bidi w:val="0"/>
              <w:spacing w:beforeAutospacing="0" w:afterAutospacing="0"/>
              <w:jc w:val="center"/>
              <w:rPr>
                <w:rFonts w:hint="eastAsia" w:ascii="方正仿宋简体" w:hAnsi="方正仿宋简体" w:eastAsia="方正仿宋简体" w:cs="方正仿宋简体"/>
                <w:b/>
                <w:bCs/>
                <w:color w:val="auto"/>
                <w:kern w:val="0"/>
                <w:sz w:val="21"/>
                <w:szCs w:val="21"/>
                <w:lang w:val="en-US" w:eastAsia="zh-CN"/>
              </w:rPr>
            </w:pPr>
            <w:r>
              <w:rPr>
                <w:rFonts w:hint="eastAsia" w:ascii="方正仿宋简体" w:hAnsi="方正仿宋简体" w:eastAsia="方正仿宋_GBK" w:cs="方正仿宋简体"/>
                <w:b/>
                <w:bCs/>
                <w:color w:val="auto"/>
                <w:kern w:val="0"/>
                <w:sz w:val="21"/>
                <w:szCs w:val="21"/>
                <w:lang w:val="en-US" w:eastAsia="zh-CN"/>
              </w:rPr>
              <w:t>处罚裁量基准</w:t>
            </w:r>
          </w:p>
        </w:tc>
        <w:tc>
          <w:tcPr>
            <w:tcW w:w="1191" w:type="dxa"/>
            <w:shd w:val="clear" w:color="auto" w:fill="auto"/>
            <w:noWrap w:val="0"/>
            <w:vAlign w:val="center"/>
          </w:tcPr>
          <w:p w14:paraId="7545EC3E">
            <w:pPr>
              <w:pageBreakBefore w:val="0"/>
              <w:kinsoku/>
              <w:wordWrap/>
              <w:overflowPunct/>
              <w:topLinePunct w:val="0"/>
              <w:bidi w:val="0"/>
              <w:spacing w:beforeAutospacing="0" w:afterAutospacing="0"/>
              <w:jc w:val="center"/>
              <w:rPr>
                <w:rFonts w:hint="eastAsia" w:ascii="方正仿宋简体" w:hAnsi="方正仿宋简体" w:eastAsia="方正仿宋简体" w:cs="方正仿宋简体"/>
                <w:b/>
                <w:bCs/>
                <w:color w:val="auto"/>
                <w:kern w:val="0"/>
                <w:sz w:val="21"/>
                <w:szCs w:val="21"/>
                <w:lang w:val="en-US" w:eastAsia="zh-CN"/>
              </w:rPr>
            </w:pPr>
            <w:r>
              <w:rPr>
                <w:rFonts w:hint="eastAsia" w:ascii="方正仿宋简体" w:hAnsi="方正仿宋简体" w:eastAsia="方正仿宋_GBK" w:cs="方正仿宋简体"/>
                <w:b/>
                <w:bCs/>
                <w:color w:val="auto"/>
                <w:kern w:val="0"/>
                <w:sz w:val="21"/>
                <w:szCs w:val="21"/>
                <w:lang w:val="en-US" w:eastAsia="zh-CN"/>
              </w:rPr>
              <w:t>其他处理</w:t>
            </w:r>
          </w:p>
        </w:tc>
      </w:tr>
      <w:tr w14:paraId="0F789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13" w:hRule="atLeast"/>
          <w:jc w:val="center"/>
        </w:trPr>
        <w:tc>
          <w:tcPr>
            <w:tcW w:w="680" w:type="dxa"/>
            <w:vMerge w:val="restart"/>
            <w:shd w:val="clear" w:color="auto" w:fill="auto"/>
            <w:noWrap w:val="0"/>
            <w:vAlign w:val="center"/>
          </w:tcPr>
          <w:p w14:paraId="17962B6C">
            <w:pPr>
              <w:pageBreakBefore w:val="0"/>
              <w:widowControl/>
              <w:kinsoku/>
              <w:wordWrap/>
              <w:overflowPunct/>
              <w:topLinePunct w:val="0"/>
              <w:bidi w:val="0"/>
              <w:spacing w:beforeAutospacing="0" w:afterAutospacing="0"/>
              <w:jc w:val="center"/>
              <w:rPr>
                <w:rFonts w:hint="default" w:ascii="方正仿宋简体" w:hAnsi="方正仿宋简体" w:eastAsia="方正仿宋简体" w:cs="方正仿宋简体"/>
                <w:color w:val="auto"/>
                <w:kern w:val="0"/>
                <w:sz w:val="21"/>
                <w:szCs w:val="21"/>
                <w:lang w:val="en-US" w:eastAsia="zh-CN" w:bidi="ar-SA"/>
              </w:rPr>
            </w:pPr>
            <w:r>
              <w:rPr>
                <w:rFonts w:hint="eastAsia" w:ascii="方正仿宋简体" w:hAnsi="方正仿宋简体" w:eastAsia="方正仿宋简体" w:cs="方正仿宋简体"/>
                <w:color w:val="auto"/>
                <w:kern w:val="0"/>
                <w:sz w:val="21"/>
                <w:szCs w:val="21"/>
                <w:lang w:val="en-US" w:eastAsia="zh-CN" w:bidi="ar-SA"/>
              </w:rPr>
              <w:t>1</w:t>
            </w:r>
          </w:p>
        </w:tc>
        <w:tc>
          <w:tcPr>
            <w:tcW w:w="1166" w:type="dxa"/>
            <w:vMerge w:val="restart"/>
            <w:shd w:val="clear" w:color="auto" w:fill="auto"/>
            <w:noWrap w:val="0"/>
            <w:vAlign w:val="center"/>
          </w:tcPr>
          <w:p w14:paraId="3AEDB816">
            <w:pPr>
              <w:pageBreakBefore w:val="0"/>
              <w:widowControl/>
              <w:kinsoku/>
              <w:wordWrap/>
              <w:overflowPunct/>
              <w:topLinePunct w:val="0"/>
              <w:bidi w:val="0"/>
              <w:spacing w:beforeAutospacing="0" w:afterAutospacing="0"/>
              <w:jc w:val="center"/>
              <w:rPr>
                <w:rFonts w:hint="eastAsia" w:ascii="方正仿宋简体" w:hAnsi="方正仿宋简体" w:eastAsia="方正仿宋简体" w:cs="方正仿宋简体"/>
                <w:color w:val="auto"/>
                <w:kern w:val="0"/>
                <w:sz w:val="21"/>
                <w:szCs w:val="21"/>
                <w:lang w:val="en-US" w:eastAsia="zh-CN" w:bidi="ar-SA"/>
              </w:rPr>
            </w:pPr>
          </w:p>
        </w:tc>
        <w:tc>
          <w:tcPr>
            <w:tcW w:w="1329" w:type="dxa"/>
            <w:vMerge w:val="restart"/>
            <w:shd w:val="clear" w:color="auto" w:fill="auto"/>
            <w:noWrap w:val="0"/>
            <w:vAlign w:val="center"/>
          </w:tcPr>
          <w:p w14:paraId="5381487C">
            <w:pPr>
              <w:pageBreakBefore w:val="0"/>
              <w:widowControl/>
              <w:kinsoku/>
              <w:wordWrap/>
              <w:overflowPunct/>
              <w:topLinePunct w:val="0"/>
              <w:bidi w:val="0"/>
              <w:spacing w:beforeAutospacing="0" w:afterAutospacing="0"/>
              <w:jc w:val="both"/>
              <w:rPr>
                <w:rFonts w:hint="eastAsia" w:ascii="方正仿宋简体" w:hAnsi="方正仿宋简体" w:eastAsia="方正仿宋简体" w:cs="方正仿宋简体"/>
                <w:color w:val="auto"/>
                <w:kern w:val="0"/>
                <w:sz w:val="21"/>
                <w:szCs w:val="21"/>
                <w:lang w:val="en-US" w:eastAsia="zh-CN" w:bidi="ar-SA"/>
              </w:rPr>
            </w:pPr>
            <w:r>
              <w:rPr>
                <w:rFonts w:hint="eastAsia" w:ascii="方正仿宋简体" w:hAnsi="方正仿宋简体" w:eastAsia="方正仿宋_GBK" w:cs="方正仿宋简体"/>
                <w:color w:val="auto"/>
                <w:kern w:val="0"/>
                <w:sz w:val="21"/>
                <w:szCs w:val="21"/>
                <w:lang w:val="en-US" w:eastAsia="zh-CN" w:bidi="ar-SA"/>
              </w:rPr>
              <w:t>依法应当进行消防设计审查的建设工程，未经依法审查或者审查不合格，擅自施工的；依法应当进行消防验收的建设工程，未经消防验收或者消防验收不合格，擅自投入使用的</w:t>
            </w:r>
          </w:p>
        </w:tc>
        <w:tc>
          <w:tcPr>
            <w:tcW w:w="2063" w:type="dxa"/>
            <w:gridSpan w:val="2"/>
            <w:vMerge w:val="restart"/>
            <w:shd w:val="clear" w:color="auto" w:fill="auto"/>
            <w:noWrap w:val="0"/>
            <w:vAlign w:val="center"/>
          </w:tcPr>
          <w:p w14:paraId="3A52C60D">
            <w:pPr>
              <w:pageBreakBefore w:val="0"/>
              <w:widowControl/>
              <w:kinsoku/>
              <w:wordWrap/>
              <w:overflowPunct/>
              <w:topLinePunct w:val="0"/>
              <w:bidi w:val="0"/>
              <w:spacing w:beforeAutospacing="0" w:afterAutospacing="0"/>
              <w:jc w:val="both"/>
              <w:rPr>
                <w:rFonts w:hint="eastAsia" w:ascii="方正仿宋简体" w:hAnsi="方正仿宋简体" w:eastAsia="方正仿宋_GBK" w:cs="方正仿宋简体"/>
                <w:color w:val="auto"/>
                <w:kern w:val="0"/>
                <w:sz w:val="21"/>
                <w:szCs w:val="21"/>
                <w:highlight w:val="none"/>
                <w:lang w:val="en-US" w:eastAsia="zh-CN" w:bidi="ar-SA"/>
              </w:rPr>
            </w:pPr>
            <w:r>
              <w:rPr>
                <w:rFonts w:hint="eastAsia" w:ascii="方正仿宋简体" w:hAnsi="方正仿宋简体" w:eastAsia="方正仿宋_GBK" w:cs="方正仿宋简体"/>
                <w:color w:val="auto"/>
                <w:kern w:val="0"/>
                <w:sz w:val="21"/>
                <w:szCs w:val="21"/>
                <w:highlight w:val="none"/>
                <w:lang w:val="en-US" w:eastAsia="zh-CN" w:bidi="ar-SA"/>
              </w:rPr>
              <w:t>《中华人民共和国消防法》第十一条 国务院住房和城乡建设主管部门规定的特殊建设工程，建设单位应当将消防设计文件报送住房和城乡建设主管部门审查，住房和城乡建设主管部门依法对审查的结果负责。</w:t>
            </w:r>
          </w:p>
          <w:p w14:paraId="114C17D4">
            <w:pPr>
              <w:pageBreakBefore w:val="0"/>
              <w:widowControl/>
              <w:kinsoku/>
              <w:wordWrap/>
              <w:overflowPunct/>
              <w:topLinePunct w:val="0"/>
              <w:bidi w:val="0"/>
              <w:spacing w:beforeAutospacing="0" w:afterAutospacing="0"/>
              <w:jc w:val="both"/>
              <w:rPr>
                <w:rFonts w:hint="eastAsia" w:ascii="方正仿宋简体" w:hAnsi="方正仿宋简体" w:eastAsia="方正仿宋_GBK" w:cs="方正仿宋简体"/>
                <w:color w:val="auto"/>
                <w:kern w:val="0"/>
                <w:sz w:val="21"/>
                <w:szCs w:val="21"/>
                <w:highlight w:val="none"/>
                <w:lang w:val="en-US" w:eastAsia="zh-CN" w:bidi="ar-SA"/>
              </w:rPr>
            </w:pPr>
            <w:r>
              <w:rPr>
                <w:rFonts w:hint="eastAsia" w:ascii="方正仿宋简体" w:hAnsi="方正仿宋简体" w:eastAsia="方正仿宋_GBK" w:cs="方正仿宋简体"/>
                <w:color w:val="auto"/>
                <w:kern w:val="0"/>
                <w:sz w:val="21"/>
                <w:szCs w:val="21"/>
                <w:highlight w:val="none"/>
                <w:lang w:val="en-US" w:eastAsia="zh-CN" w:bidi="ar-SA"/>
              </w:rPr>
              <w:t>前款规定以外的其他建设工程，建设单位申请领取施工许可证或者申请批准开工报告时应当提供满足施工需要的消防设计图纸及技术资料。</w:t>
            </w:r>
          </w:p>
          <w:p w14:paraId="6AB5438F">
            <w:pPr>
              <w:pageBreakBefore w:val="0"/>
              <w:widowControl/>
              <w:kinsoku/>
              <w:wordWrap/>
              <w:overflowPunct/>
              <w:topLinePunct w:val="0"/>
              <w:bidi w:val="0"/>
              <w:spacing w:beforeAutospacing="0" w:afterAutospacing="0"/>
              <w:jc w:val="both"/>
              <w:rPr>
                <w:rFonts w:hint="eastAsia" w:ascii="方正仿宋简体" w:hAnsi="方正仿宋简体" w:eastAsia="方正仿宋简体" w:cs="方正仿宋简体"/>
                <w:color w:val="auto"/>
                <w:kern w:val="0"/>
                <w:sz w:val="21"/>
                <w:szCs w:val="21"/>
                <w:lang w:val="en-US" w:eastAsia="zh-CN" w:bidi="ar-SA"/>
              </w:rPr>
            </w:pPr>
            <w:r>
              <w:rPr>
                <w:rFonts w:hint="eastAsia" w:ascii="方正仿宋简体" w:hAnsi="方正仿宋简体" w:eastAsia="方正仿宋_GBK" w:cs="方正仿宋简体"/>
                <w:color w:val="auto"/>
                <w:kern w:val="0"/>
                <w:sz w:val="21"/>
                <w:szCs w:val="21"/>
                <w:highlight w:val="none"/>
                <w:lang w:val="en-US" w:eastAsia="zh-CN" w:bidi="ar-SA"/>
              </w:rPr>
              <w:t>第十二条 特殊建设工程未经消防设计审查或者审查不合格的，建设单位、施工单位不得施工；其他建设工程，建设单位未提供满足施工需要的消防设计图纸及技术资料的，有关部门不得发放施工许可证或者批准开工报告。</w:t>
            </w:r>
          </w:p>
        </w:tc>
        <w:tc>
          <w:tcPr>
            <w:tcW w:w="1339" w:type="dxa"/>
            <w:vMerge w:val="restart"/>
            <w:shd w:val="clear" w:color="auto" w:fill="auto"/>
            <w:noWrap w:val="0"/>
            <w:vAlign w:val="center"/>
          </w:tcPr>
          <w:p w14:paraId="6F599224">
            <w:pPr>
              <w:pageBreakBefore w:val="0"/>
              <w:widowControl/>
              <w:kinsoku/>
              <w:wordWrap/>
              <w:overflowPunct/>
              <w:topLinePunct w:val="0"/>
              <w:bidi w:val="0"/>
              <w:spacing w:beforeAutospacing="0" w:afterAutospacing="0"/>
              <w:jc w:val="both"/>
              <w:rPr>
                <w:rFonts w:hint="eastAsia" w:ascii="方正仿宋简体" w:hAnsi="方正仿宋简体" w:eastAsia="方正仿宋简体" w:cs="方正仿宋简体"/>
                <w:color w:val="auto"/>
                <w:kern w:val="0"/>
                <w:sz w:val="21"/>
                <w:szCs w:val="21"/>
                <w:lang w:val="en-US" w:eastAsia="zh-CN" w:bidi="ar-SA"/>
              </w:rPr>
            </w:pPr>
            <w:r>
              <w:rPr>
                <w:rFonts w:hint="eastAsia" w:ascii="方正仿宋简体" w:hAnsi="方正仿宋简体" w:eastAsia="方正仿宋_GBK" w:cs="方正仿宋简体"/>
                <w:color w:val="auto"/>
                <w:kern w:val="0"/>
                <w:sz w:val="21"/>
                <w:szCs w:val="21"/>
                <w:highlight w:val="none"/>
                <w:lang w:val="en-US" w:eastAsia="zh-CN" w:bidi="ar-SA"/>
              </w:rPr>
              <w:t>《中华人民共和国消防法》第五十八条</w:t>
            </w:r>
            <w:r>
              <w:rPr>
                <w:rFonts w:hint="eastAsia" w:ascii="方正仿宋简体" w:hAnsi="方正仿宋简体" w:eastAsia="方正仿宋_GBK" w:cs="方正仿宋简体"/>
                <w:color w:val="auto"/>
                <w:kern w:val="0"/>
                <w:sz w:val="21"/>
                <w:szCs w:val="21"/>
                <w:lang w:val="en-US" w:eastAsia="zh-CN" w:bidi="ar-SA"/>
              </w:rPr>
              <w:t>第一款第一、二项</w:t>
            </w:r>
            <w:r>
              <w:rPr>
                <w:rFonts w:hint="eastAsia" w:ascii="方正仿宋简体" w:hAnsi="方正仿宋简体" w:eastAsia="方正仿宋_GBK" w:cs="方正仿宋简体"/>
                <w:color w:val="auto"/>
                <w:kern w:val="0"/>
                <w:sz w:val="21"/>
                <w:szCs w:val="21"/>
                <w:highlight w:val="none"/>
                <w:lang w:val="en-US" w:eastAsia="zh-CN" w:bidi="ar-SA"/>
              </w:rPr>
              <w:t xml:space="preserve"> </w:t>
            </w:r>
            <w:r>
              <w:rPr>
                <w:rFonts w:hint="eastAsia" w:ascii="方正仿宋简体" w:hAnsi="方正仿宋简体" w:eastAsia="方正仿宋_GBK" w:cs="方正仿宋简体"/>
                <w:color w:val="auto"/>
                <w:kern w:val="0"/>
                <w:sz w:val="21"/>
                <w:szCs w:val="21"/>
                <w:lang w:val="en-US" w:eastAsia="zh-CN" w:bidi="ar-SA"/>
              </w:rPr>
              <w:t>“依法应当进行消防设计审查的建设工程，未经依法审查或者审查不合格，擅自施工的；依法应当进行消防验收的建设工程，未经消防验收或者消防验收不合格，擅自投入使用的”由住房和城乡建设主管部门，责令其停止施工或者停止使用，并处三万元以上十万元以下罚款</w:t>
            </w:r>
          </w:p>
        </w:tc>
        <w:tc>
          <w:tcPr>
            <w:tcW w:w="1191" w:type="dxa"/>
            <w:shd w:val="clear" w:color="auto" w:fill="auto"/>
            <w:noWrap w:val="0"/>
            <w:vAlign w:val="center"/>
          </w:tcPr>
          <w:p w14:paraId="1EE4FBF5">
            <w:pPr>
              <w:pageBreakBefore w:val="0"/>
              <w:widowControl/>
              <w:kinsoku/>
              <w:wordWrap/>
              <w:overflowPunct/>
              <w:topLinePunct w:val="0"/>
              <w:bidi w:val="0"/>
              <w:spacing w:beforeAutospacing="0" w:afterAutospacing="0"/>
              <w:jc w:val="center"/>
              <w:rPr>
                <w:rFonts w:hint="eastAsia" w:ascii="方正仿宋简体" w:hAnsi="方正仿宋简体" w:eastAsia="方正仿宋简体" w:cs="方正仿宋简体"/>
                <w:color w:val="auto"/>
                <w:kern w:val="0"/>
                <w:sz w:val="21"/>
                <w:szCs w:val="21"/>
                <w:lang w:val="en-US" w:eastAsia="zh-CN" w:bidi="ar-SA"/>
              </w:rPr>
            </w:pPr>
            <w:r>
              <w:rPr>
                <w:rFonts w:hint="eastAsia" w:ascii="方正仿宋简体" w:hAnsi="方正仿宋简体" w:eastAsia="方正仿宋_GBK" w:cs="方正仿宋简体"/>
                <w:color w:val="auto"/>
                <w:sz w:val="21"/>
                <w:szCs w:val="21"/>
                <w:lang w:val="en-US" w:eastAsia="zh-CN"/>
              </w:rPr>
              <w:t>较轻</w:t>
            </w:r>
          </w:p>
        </w:tc>
        <w:tc>
          <w:tcPr>
            <w:tcW w:w="4252" w:type="dxa"/>
            <w:vMerge w:val="restart"/>
            <w:shd w:val="clear" w:color="auto" w:fill="auto"/>
            <w:noWrap w:val="0"/>
            <w:vAlign w:val="center"/>
          </w:tcPr>
          <w:p w14:paraId="779DD9C5">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firstLine="420" w:firstLineChars="200"/>
              <w:jc w:val="both"/>
              <w:textAlignment w:val="auto"/>
              <w:rPr>
                <w:rFonts w:hint="eastAsia" w:ascii="方正仿宋简体" w:hAnsi="方正仿宋简体" w:eastAsia="方正仿宋_GBK" w:cs="方正仿宋简体"/>
                <w:color w:val="auto"/>
                <w:kern w:val="0"/>
                <w:sz w:val="21"/>
                <w:szCs w:val="21"/>
                <w:highlight w:val="none"/>
                <w:shd w:val="clear"/>
                <w:lang w:val="en-US" w:eastAsia="zh-CN" w:bidi="ar-SA"/>
              </w:rPr>
            </w:pPr>
            <w:r>
              <w:rPr>
                <w:rFonts w:hint="eastAsia" w:ascii="方正仿宋简体" w:hAnsi="方正仿宋简体" w:eastAsia="方正仿宋_GBK" w:cs="方正仿宋简体"/>
                <w:color w:val="auto"/>
                <w:kern w:val="0"/>
                <w:sz w:val="21"/>
                <w:szCs w:val="21"/>
                <w:highlight w:val="none"/>
                <w:shd w:val="clear"/>
                <w:lang w:val="en-US" w:eastAsia="zh-CN" w:bidi="ar-SA"/>
              </w:rPr>
              <w:t>（一）建筑总面积一万平方米以上、不足三万平方米的宾馆、饭店、商场、市场；</w:t>
            </w:r>
          </w:p>
          <w:p w14:paraId="05E720A7">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firstLine="420" w:firstLineChars="200"/>
              <w:jc w:val="both"/>
              <w:textAlignment w:val="auto"/>
              <w:rPr>
                <w:rFonts w:hint="eastAsia" w:ascii="方正仿宋简体" w:hAnsi="方正仿宋简体" w:eastAsia="方正仿宋_GBK" w:cs="方正仿宋简体"/>
                <w:color w:val="auto"/>
                <w:kern w:val="0"/>
                <w:sz w:val="21"/>
                <w:szCs w:val="21"/>
                <w:highlight w:val="none"/>
                <w:shd w:val="clear"/>
                <w:lang w:val="en-US" w:eastAsia="zh-CN" w:bidi="ar-SA"/>
              </w:rPr>
            </w:pPr>
            <w:r>
              <w:rPr>
                <w:rFonts w:hint="eastAsia" w:ascii="方正仿宋简体" w:hAnsi="方正仿宋简体" w:eastAsia="方正仿宋_GBK" w:cs="方正仿宋简体"/>
                <w:color w:val="auto"/>
                <w:kern w:val="0"/>
                <w:sz w:val="21"/>
                <w:szCs w:val="21"/>
                <w:highlight w:val="none"/>
                <w:shd w:val="clear"/>
                <w:lang w:val="en-US" w:eastAsia="zh-CN" w:bidi="ar-SA"/>
              </w:rPr>
              <w:t>（二）建筑总面积二千五百平方米以上、不足五千平方米的影剧院，公共图书馆的阅览室，营业性室内健身、休闲场馆，医院的门诊楼，大学的教学楼、图书馆、食堂，劳动密集型企业的生产加工车间，寺庙、教堂；</w:t>
            </w:r>
          </w:p>
          <w:p w14:paraId="19875B11">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firstLine="420" w:firstLineChars="200"/>
              <w:jc w:val="both"/>
              <w:textAlignment w:val="auto"/>
              <w:rPr>
                <w:rFonts w:hint="eastAsia" w:ascii="方正仿宋简体" w:hAnsi="方正仿宋简体" w:eastAsia="方正仿宋_GBK" w:cs="方正仿宋简体"/>
                <w:color w:val="auto"/>
                <w:kern w:val="0"/>
                <w:sz w:val="21"/>
                <w:szCs w:val="21"/>
                <w:highlight w:val="none"/>
                <w:shd w:val="clear"/>
                <w:lang w:val="en-US" w:eastAsia="zh-CN" w:bidi="ar-SA"/>
              </w:rPr>
            </w:pPr>
            <w:r>
              <w:rPr>
                <w:rFonts w:hint="eastAsia" w:ascii="方正仿宋简体" w:hAnsi="方正仿宋简体" w:eastAsia="方正仿宋_GBK" w:cs="方正仿宋简体"/>
                <w:color w:val="auto"/>
                <w:kern w:val="0"/>
                <w:sz w:val="21"/>
                <w:szCs w:val="21"/>
                <w:highlight w:val="none"/>
                <w:shd w:val="clear"/>
                <w:lang w:val="en-US" w:eastAsia="zh-CN" w:bidi="ar-SA"/>
              </w:rPr>
              <w:t>（三）建筑总面积一千平方米以上、不足五千平方米的托儿所、幼儿园的儿童用房，儿童游乐厅等室内儿童活动场所，养老院、福利院，医院、疗养院的病房楼，中小学校的教学楼、图书馆、食堂，学校的集体宿舍，劳动密集型企业的员工集体宿舍；</w:t>
            </w:r>
          </w:p>
          <w:p w14:paraId="55CAD77F">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firstLine="420" w:firstLineChars="200"/>
              <w:jc w:val="both"/>
              <w:textAlignment w:val="auto"/>
              <w:rPr>
                <w:rFonts w:hint="eastAsia" w:ascii="方正仿宋简体" w:hAnsi="方正仿宋简体" w:eastAsia="方正仿宋_GBK" w:cs="方正仿宋简体"/>
                <w:color w:val="auto"/>
                <w:kern w:val="0"/>
                <w:sz w:val="21"/>
                <w:szCs w:val="21"/>
                <w:highlight w:val="none"/>
                <w:shd w:val="clear"/>
                <w:lang w:val="en-US" w:eastAsia="zh-CN" w:bidi="ar-SA"/>
              </w:rPr>
            </w:pPr>
            <w:r>
              <w:rPr>
                <w:rFonts w:hint="eastAsia" w:ascii="方正仿宋简体" w:hAnsi="方正仿宋简体" w:eastAsia="方正仿宋_GBK" w:cs="方正仿宋简体"/>
                <w:color w:val="auto"/>
                <w:kern w:val="0"/>
                <w:sz w:val="21"/>
                <w:szCs w:val="21"/>
                <w:highlight w:val="none"/>
                <w:shd w:val="clear"/>
                <w:lang w:val="en-US" w:eastAsia="zh-CN" w:bidi="ar-SA"/>
              </w:rPr>
              <w:t>（四）建筑总面积五百平方米以上、不足二千平方米的歌舞厅、录像厅、放映厅、卡拉OK厅、夜总会、游艺厅、桑拿浴室、网吧、酒吧，具有娱乐功能的餐馆、茶馆、咖啡厅；</w:t>
            </w:r>
          </w:p>
          <w:p w14:paraId="34A6D66E">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firstLine="420" w:firstLineChars="200"/>
              <w:jc w:val="both"/>
              <w:textAlignment w:val="auto"/>
              <w:rPr>
                <w:rFonts w:hint="eastAsia" w:ascii="方正仿宋简体" w:hAnsi="方正仿宋简体" w:eastAsia="方正仿宋_GBK" w:cs="方正仿宋简体"/>
                <w:color w:val="auto"/>
                <w:kern w:val="0"/>
                <w:sz w:val="21"/>
                <w:szCs w:val="21"/>
                <w:highlight w:val="none"/>
                <w:shd w:val="clear"/>
                <w:lang w:val="en-US" w:eastAsia="zh-CN" w:bidi="ar-SA"/>
              </w:rPr>
            </w:pPr>
            <w:r>
              <w:rPr>
                <w:rFonts w:hint="eastAsia" w:ascii="方正仿宋简体" w:hAnsi="方正仿宋简体" w:eastAsia="方正仿宋_GBK" w:cs="方正仿宋简体"/>
                <w:color w:val="auto"/>
                <w:kern w:val="0"/>
                <w:sz w:val="21"/>
                <w:szCs w:val="21"/>
                <w:highlight w:val="none"/>
                <w:shd w:val="clear"/>
                <w:lang w:val="en-US" w:eastAsia="zh-CN" w:bidi="ar-SA"/>
              </w:rPr>
              <w:t>（五）建筑总面积不足一万平方米的国家机关办公楼、电力调度楼、电信楼、邮政楼、防灾指挥调度楼、广播电视楼、档案楼；</w:t>
            </w:r>
          </w:p>
          <w:p w14:paraId="312D9B92">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firstLine="420" w:firstLineChars="200"/>
              <w:jc w:val="both"/>
              <w:textAlignment w:val="auto"/>
              <w:rPr>
                <w:rFonts w:hint="eastAsia" w:ascii="方正仿宋简体" w:hAnsi="方正仿宋简体" w:eastAsia="方正仿宋_GBK" w:cs="方正仿宋简体"/>
                <w:color w:val="auto"/>
                <w:kern w:val="0"/>
                <w:sz w:val="21"/>
                <w:szCs w:val="21"/>
                <w:highlight w:val="none"/>
                <w:shd w:val="clear"/>
                <w:lang w:val="en-US" w:eastAsia="zh-CN" w:bidi="ar-SA"/>
              </w:rPr>
            </w:pPr>
            <w:r>
              <w:rPr>
                <w:rFonts w:hint="eastAsia" w:ascii="方正仿宋简体" w:hAnsi="方正仿宋简体" w:eastAsia="方正仿宋_GBK" w:cs="方正仿宋简体"/>
                <w:color w:val="auto"/>
                <w:kern w:val="0"/>
                <w:sz w:val="21"/>
                <w:szCs w:val="21"/>
                <w:highlight w:val="none"/>
                <w:shd w:val="clear"/>
                <w:lang w:val="en-US" w:eastAsia="zh-CN" w:bidi="ar-SA"/>
              </w:rPr>
              <w:t>（六）国家标准规定的一类住宅建筑且建筑高度不超过一百米；</w:t>
            </w:r>
          </w:p>
          <w:p w14:paraId="66B8BABD">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firstLine="420" w:firstLineChars="200"/>
              <w:jc w:val="both"/>
              <w:textAlignment w:val="auto"/>
              <w:rPr>
                <w:rFonts w:hint="eastAsia" w:ascii="方正仿宋简体" w:hAnsi="方正仿宋简体" w:eastAsia="方正仿宋_GBK" w:cs="方正仿宋简体"/>
                <w:color w:val="auto"/>
                <w:kern w:val="0"/>
                <w:sz w:val="21"/>
                <w:szCs w:val="21"/>
                <w:highlight w:val="none"/>
                <w:shd w:val="clear"/>
                <w:lang w:val="en-US" w:eastAsia="zh-CN" w:bidi="ar-SA"/>
              </w:rPr>
            </w:pPr>
            <w:r>
              <w:rPr>
                <w:rFonts w:hint="eastAsia" w:ascii="方正仿宋简体" w:hAnsi="方正仿宋简体" w:eastAsia="方正仿宋_GBK" w:cs="方正仿宋简体"/>
                <w:color w:val="auto"/>
                <w:kern w:val="0"/>
                <w:sz w:val="21"/>
                <w:szCs w:val="21"/>
                <w:highlight w:val="none"/>
                <w:shd w:val="clear"/>
                <w:lang w:val="en-US" w:eastAsia="zh-CN" w:bidi="ar-SA"/>
              </w:rPr>
              <w:t>（七）生产、储存易燃易爆危险物品，液体、气体总储量不足一千立方米，固体总储量不足五千千克的工厂、仓库；</w:t>
            </w:r>
          </w:p>
          <w:p w14:paraId="44196D58">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firstLine="420" w:firstLineChars="200"/>
              <w:jc w:val="both"/>
              <w:textAlignment w:val="auto"/>
              <w:rPr>
                <w:rFonts w:hint="eastAsia" w:ascii="方正仿宋简体" w:hAnsi="方正仿宋简体" w:eastAsia="方正仿宋_GBK" w:cs="方正仿宋简体"/>
                <w:color w:val="auto"/>
                <w:kern w:val="0"/>
                <w:sz w:val="21"/>
                <w:szCs w:val="21"/>
                <w:highlight w:val="none"/>
                <w:shd w:val="clear"/>
                <w:lang w:val="en-US" w:eastAsia="zh-CN" w:bidi="ar-SA"/>
              </w:rPr>
            </w:pPr>
            <w:r>
              <w:rPr>
                <w:rFonts w:hint="eastAsia" w:ascii="方正仿宋简体" w:hAnsi="方正仿宋简体" w:eastAsia="方正仿宋_GBK" w:cs="方正仿宋简体"/>
                <w:color w:val="auto"/>
                <w:kern w:val="0"/>
                <w:sz w:val="21"/>
                <w:szCs w:val="21"/>
                <w:highlight w:val="none"/>
                <w:shd w:val="clear"/>
                <w:lang w:val="en-US" w:eastAsia="zh-CN" w:bidi="ar-SA"/>
              </w:rPr>
              <w:t>（八）加油站、加油加气站，装卸易燃易爆危险物品专用车站、码头，易燃易爆气体和液体的调压站。</w:t>
            </w:r>
          </w:p>
          <w:p w14:paraId="3C212921">
            <w:pPr>
              <w:pageBreakBefore w:val="0"/>
              <w:widowControl/>
              <w:kinsoku/>
              <w:wordWrap/>
              <w:overflowPunct/>
              <w:topLinePunct w:val="0"/>
              <w:bidi w:val="0"/>
              <w:spacing w:beforeAutospacing="0" w:afterAutospacing="0"/>
              <w:jc w:val="both"/>
              <w:rPr>
                <w:rFonts w:hint="eastAsia" w:ascii="方正仿宋简体" w:hAnsi="方正仿宋简体" w:eastAsia="方正仿宋_GBK" w:cs="方正仿宋简体"/>
                <w:color w:val="auto"/>
                <w:kern w:val="0"/>
                <w:sz w:val="21"/>
                <w:szCs w:val="21"/>
                <w:highlight w:val="none"/>
                <w:shd w:val="clear"/>
                <w:lang w:val="en-US" w:eastAsia="zh-CN" w:bidi="ar-SA"/>
              </w:rPr>
            </w:pPr>
          </w:p>
        </w:tc>
        <w:tc>
          <w:tcPr>
            <w:tcW w:w="1701" w:type="dxa"/>
            <w:shd w:val="clear" w:color="auto" w:fill="auto"/>
            <w:noWrap w:val="0"/>
            <w:vAlign w:val="center"/>
          </w:tcPr>
          <w:p w14:paraId="19F45E65">
            <w:pPr>
              <w:pageBreakBefore w:val="0"/>
              <w:widowControl/>
              <w:kinsoku/>
              <w:wordWrap/>
              <w:overflowPunct/>
              <w:topLinePunct w:val="0"/>
              <w:bidi w:val="0"/>
              <w:spacing w:beforeAutospacing="0" w:afterAutospacing="0"/>
              <w:jc w:val="both"/>
              <w:rPr>
                <w:rFonts w:hint="eastAsia" w:ascii="方正仿宋简体" w:hAnsi="方正仿宋简体" w:eastAsia="方正仿宋简体" w:cs="方正仿宋简体"/>
                <w:color w:val="auto"/>
                <w:kern w:val="0"/>
                <w:sz w:val="21"/>
                <w:szCs w:val="21"/>
                <w:lang w:val="en-US" w:eastAsia="zh-CN" w:bidi="ar-SA"/>
              </w:rPr>
            </w:pPr>
            <w:r>
              <w:rPr>
                <w:rFonts w:hint="eastAsia" w:ascii="方正仿宋简体" w:hAnsi="方正仿宋简体" w:eastAsia="方正仿宋_GBK" w:cs="方正仿宋简体"/>
                <w:color w:val="auto"/>
                <w:kern w:val="0"/>
                <w:sz w:val="21"/>
                <w:szCs w:val="21"/>
                <w:lang w:val="en-US" w:eastAsia="zh-CN" w:bidi="ar-SA"/>
              </w:rPr>
              <w:t>处三万元以上五万元以下罚款</w:t>
            </w:r>
          </w:p>
        </w:tc>
        <w:tc>
          <w:tcPr>
            <w:tcW w:w="1191" w:type="dxa"/>
            <w:vMerge w:val="restart"/>
            <w:shd w:val="clear" w:color="auto" w:fill="auto"/>
            <w:noWrap w:val="0"/>
            <w:vAlign w:val="center"/>
          </w:tcPr>
          <w:p w14:paraId="3D96F068">
            <w:pPr>
              <w:pageBreakBefore w:val="0"/>
              <w:widowControl/>
              <w:kinsoku/>
              <w:wordWrap/>
              <w:overflowPunct/>
              <w:topLinePunct w:val="0"/>
              <w:bidi w:val="0"/>
              <w:spacing w:beforeAutospacing="0" w:afterAutospacing="0"/>
              <w:jc w:val="both"/>
              <w:rPr>
                <w:rFonts w:hint="eastAsia" w:ascii="方正仿宋简体" w:hAnsi="方正仿宋简体" w:eastAsia="方正仿宋简体" w:cs="方正仿宋简体"/>
                <w:color w:val="auto"/>
                <w:spacing w:val="8"/>
                <w:sz w:val="21"/>
                <w:szCs w:val="21"/>
              </w:rPr>
            </w:pPr>
            <w:r>
              <w:rPr>
                <w:rFonts w:hint="eastAsia" w:ascii="方正仿宋简体" w:hAnsi="方正仿宋简体" w:eastAsia="方正仿宋_GBK" w:cs="方正仿宋简体"/>
                <w:color w:val="auto"/>
                <w:kern w:val="0"/>
                <w:sz w:val="21"/>
                <w:szCs w:val="21"/>
                <w:lang w:val="en-US" w:eastAsia="zh-CN" w:bidi="ar-SA"/>
              </w:rPr>
              <w:t>住房和城乡建设主管部门，责令其停止施工或者停止使用</w:t>
            </w:r>
          </w:p>
        </w:tc>
      </w:tr>
      <w:tr w14:paraId="05C01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80" w:hRule="atLeast"/>
          <w:jc w:val="center"/>
        </w:trPr>
        <w:tc>
          <w:tcPr>
            <w:tcW w:w="680" w:type="dxa"/>
            <w:vMerge w:val="continue"/>
            <w:shd w:val="clear" w:color="auto" w:fill="auto"/>
            <w:noWrap w:val="0"/>
            <w:vAlign w:val="center"/>
          </w:tcPr>
          <w:p w14:paraId="0C816C96">
            <w:pPr>
              <w:pageBreakBefore w:val="0"/>
              <w:widowControl/>
              <w:kinsoku/>
              <w:wordWrap/>
              <w:overflowPunct/>
              <w:topLinePunct w:val="0"/>
              <w:bidi w:val="0"/>
              <w:spacing w:beforeAutospacing="0" w:afterAutospacing="0"/>
              <w:jc w:val="center"/>
              <w:rPr>
                <w:rFonts w:hint="default" w:ascii="方正仿宋简体" w:hAnsi="方正仿宋简体" w:eastAsia="方正仿宋简体" w:cs="方正仿宋简体"/>
                <w:color w:val="auto"/>
                <w:kern w:val="0"/>
                <w:sz w:val="21"/>
                <w:szCs w:val="21"/>
                <w:lang w:val="en-US" w:eastAsia="zh-CN" w:bidi="ar-SA"/>
              </w:rPr>
            </w:pPr>
          </w:p>
        </w:tc>
        <w:tc>
          <w:tcPr>
            <w:tcW w:w="1166" w:type="dxa"/>
            <w:vMerge w:val="continue"/>
            <w:shd w:val="clear" w:color="auto" w:fill="auto"/>
            <w:noWrap w:val="0"/>
            <w:vAlign w:val="center"/>
          </w:tcPr>
          <w:p w14:paraId="3FA51001">
            <w:pPr>
              <w:pageBreakBefore w:val="0"/>
              <w:widowControl/>
              <w:kinsoku/>
              <w:wordWrap/>
              <w:overflowPunct/>
              <w:topLinePunct w:val="0"/>
              <w:bidi w:val="0"/>
              <w:spacing w:beforeAutospacing="0" w:afterAutospacing="0"/>
              <w:jc w:val="center"/>
              <w:rPr>
                <w:rFonts w:hint="eastAsia" w:ascii="方正仿宋简体" w:hAnsi="方正仿宋简体" w:eastAsia="方正仿宋简体" w:cs="方正仿宋简体"/>
                <w:color w:val="auto"/>
                <w:kern w:val="0"/>
                <w:sz w:val="21"/>
                <w:szCs w:val="21"/>
                <w:lang w:val="en-US" w:eastAsia="zh-CN" w:bidi="ar-SA"/>
              </w:rPr>
            </w:pPr>
          </w:p>
        </w:tc>
        <w:tc>
          <w:tcPr>
            <w:tcW w:w="1329" w:type="dxa"/>
            <w:vMerge w:val="continue"/>
            <w:shd w:val="clear" w:color="auto" w:fill="auto"/>
            <w:noWrap w:val="0"/>
            <w:vAlign w:val="center"/>
          </w:tcPr>
          <w:p w14:paraId="3BA946E3">
            <w:pPr>
              <w:pageBreakBefore w:val="0"/>
              <w:widowControl/>
              <w:kinsoku/>
              <w:wordWrap/>
              <w:overflowPunct/>
              <w:topLinePunct w:val="0"/>
              <w:bidi w:val="0"/>
              <w:spacing w:beforeAutospacing="0" w:afterAutospacing="0"/>
              <w:jc w:val="both"/>
              <w:rPr>
                <w:rFonts w:hint="eastAsia" w:ascii="方正仿宋简体" w:hAnsi="方正仿宋简体" w:eastAsia="方正仿宋简体" w:cs="方正仿宋简体"/>
                <w:color w:val="auto"/>
                <w:kern w:val="0"/>
                <w:sz w:val="21"/>
                <w:szCs w:val="21"/>
                <w:lang w:val="en-US" w:eastAsia="zh-CN" w:bidi="ar-SA"/>
              </w:rPr>
            </w:pPr>
          </w:p>
        </w:tc>
        <w:tc>
          <w:tcPr>
            <w:tcW w:w="2063" w:type="dxa"/>
            <w:gridSpan w:val="2"/>
            <w:vMerge w:val="continue"/>
            <w:shd w:val="clear" w:color="auto" w:fill="auto"/>
            <w:noWrap w:val="0"/>
            <w:vAlign w:val="center"/>
          </w:tcPr>
          <w:p w14:paraId="2A0072C7">
            <w:pPr>
              <w:pageBreakBefore w:val="0"/>
              <w:widowControl/>
              <w:kinsoku/>
              <w:wordWrap/>
              <w:overflowPunct/>
              <w:topLinePunct w:val="0"/>
              <w:bidi w:val="0"/>
              <w:spacing w:beforeAutospacing="0" w:afterAutospacing="0"/>
              <w:jc w:val="both"/>
              <w:rPr>
                <w:rFonts w:hint="eastAsia" w:ascii="方正仿宋简体" w:hAnsi="方正仿宋简体" w:eastAsia="方正仿宋简体" w:cs="方正仿宋简体"/>
                <w:color w:val="auto"/>
                <w:kern w:val="0"/>
                <w:sz w:val="21"/>
                <w:szCs w:val="21"/>
                <w:lang w:val="en-US" w:eastAsia="zh-CN" w:bidi="ar-SA"/>
              </w:rPr>
            </w:pPr>
          </w:p>
        </w:tc>
        <w:tc>
          <w:tcPr>
            <w:tcW w:w="1339" w:type="dxa"/>
            <w:vMerge w:val="continue"/>
            <w:shd w:val="clear" w:color="auto" w:fill="auto"/>
            <w:noWrap w:val="0"/>
            <w:vAlign w:val="center"/>
          </w:tcPr>
          <w:p w14:paraId="01D107BB">
            <w:pPr>
              <w:pageBreakBefore w:val="0"/>
              <w:widowControl/>
              <w:kinsoku/>
              <w:wordWrap/>
              <w:overflowPunct/>
              <w:topLinePunct w:val="0"/>
              <w:bidi w:val="0"/>
              <w:spacing w:beforeAutospacing="0" w:afterAutospacing="0"/>
              <w:jc w:val="both"/>
              <w:rPr>
                <w:rFonts w:hint="eastAsia" w:ascii="方正仿宋简体" w:hAnsi="方正仿宋简体" w:eastAsia="方正仿宋简体" w:cs="方正仿宋简体"/>
                <w:color w:val="auto"/>
                <w:kern w:val="0"/>
                <w:sz w:val="21"/>
                <w:szCs w:val="21"/>
                <w:lang w:val="en-US" w:eastAsia="zh-CN" w:bidi="ar-SA"/>
              </w:rPr>
            </w:pPr>
          </w:p>
        </w:tc>
        <w:tc>
          <w:tcPr>
            <w:tcW w:w="1191" w:type="dxa"/>
            <w:shd w:val="clear" w:color="auto" w:fill="auto"/>
            <w:noWrap w:val="0"/>
            <w:vAlign w:val="center"/>
          </w:tcPr>
          <w:p w14:paraId="4566EB01">
            <w:pPr>
              <w:pageBreakBefore w:val="0"/>
              <w:widowControl/>
              <w:kinsoku/>
              <w:wordWrap/>
              <w:overflowPunct/>
              <w:topLinePunct w:val="0"/>
              <w:bidi w:val="0"/>
              <w:spacing w:beforeAutospacing="0" w:afterAutospacing="0"/>
              <w:jc w:val="center"/>
              <w:rPr>
                <w:rFonts w:hint="eastAsia" w:ascii="方正仿宋简体" w:hAnsi="方正仿宋简体" w:eastAsia="方正仿宋简体" w:cs="方正仿宋简体"/>
                <w:color w:val="auto"/>
                <w:kern w:val="0"/>
                <w:sz w:val="21"/>
                <w:szCs w:val="21"/>
                <w:lang w:val="en-US" w:eastAsia="zh-CN" w:bidi="ar-SA"/>
              </w:rPr>
            </w:pPr>
            <w:r>
              <w:rPr>
                <w:rFonts w:hint="eastAsia" w:ascii="方正仿宋简体" w:hAnsi="方正仿宋简体" w:eastAsia="方正仿宋_GBK" w:cs="方正仿宋简体"/>
                <w:color w:val="auto"/>
                <w:sz w:val="21"/>
                <w:szCs w:val="21"/>
                <w:lang w:val="en-US" w:eastAsia="zh-CN"/>
              </w:rPr>
              <w:t>较重</w:t>
            </w:r>
          </w:p>
        </w:tc>
        <w:tc>
          <w:tcPr>
            <w:tcW w:w="4252" w:type="dxa"/>
            <w:vMerge w:val="continue"/>
            <w:shd w:val="clear" w:color="auto" w:fill="auto"/>
            <w:noWrap w:val="0"/>
            <w:vAlign w:val="center"/>
          </w:tcPr>
          <w:p w14:paraId="1721EC3B">
            <w:pPr>
              <w:pageBreakBefore w:val="0"/>
              <w:widowControl/>
              <w:kinsoku/>
              <w:wordWrap/>
              <w:overflowPunct/>
              <w:topLinePunct w:val="0"/>
              <w:bidi w:val="0"/>
              <w:spacing w:beforeAutospacing="0" w:afterAutospacing="0"/>
              <w:jc w:val="both"/>
              <w:rPr>
                <w:rFonts w:hint="eastAsia" w:ascii="方正仿宋简体" w:hAnsi="方正仿宋简体" w:eastAsia="方正仿宋简体" w:cs="方正仿宋简体"/>
                <w:color w:val="auto"/>
                <w:kern w:val="0"/>
                <w:sz w:val="21"/>
                <w:szCs w:val="21"/>
                <w:lang w:val="en-US" w:eastAsia="zh-CN" w:bidi="ar-SA"/>
              </w:rPr>
            </w:pPr>
          </w:p>
        </w:tc>
        <w:tc>
          <w:tcPr>
            <w:tcW w:w="1701" w:type="dxa"/>
            <w:shd w:val="clear" w:color="auto" w:fill="auto"/>
            <w:noWrap w:val="0"/>
            <w:vAlign w:val="center"/>
          </w:tcPr>
          <w:p w14:paraId="29C0A53D">
            <w:pPr>
              <w:pageBreakBefore w:val="0"/>
              <w:widowControl/>
              <w:kinsoku/>
              <w:wordWrap/>
              <w:overflowPunct/>
              <w:topLinePunct w:val="0"/>
              <w:bidi w:val="0"/>
              <w:spacing w:beforeAutospacing="0" w:afterAutospacing="0"/>
              <w:jc w:val="both"/>
              <w:rPr>
                <w:rFonts w:hint="eastAsia" w:ascii="方正仿宋简体" w:hAnsi="方正仿宋简体" w:eastAsia="方正仿宋简体" w:cs="方正仿宋简体"/>
                <w:color w:val="auto"/>
                <w:kern w:val="0"/>
                <w:sz w:val="21"/>
                <w:szCs w:val="21"/>
                <w:lang w:val="en-US" w:eastAsia="zh-CN" w:bidi="ar-SA"/>
              </w:rPr>
            </w:pPr>
            <w:r>
              <w:rPr>
                <w:rFonts w:hint="eastAsia" w:ascii="方正仿宋简体" w:hAnsi="方正仿宋简体" w:eastAsia="方正仿宋_GBK" w:cs="方正仿宋简体"/>
                <w:color w:val="auto"/>
                <w:kern w:val="0"/>
                <w:sz w:val="21"/>
                <w:szCs w:val="21"/>
                <w:lang w:val="en-US" w:eastAsia="zh-CN" w:bidi="ar-SA"/>
              </w:rPr>
              <w:t>处五万元</w:t>
            </w:r>
            <w:bookmarkStart w:id="12" w:name="_GoBack"/>
            <w:bookmarkEnd w:id="12"/>
            <w:r>
              <w:rPr>
                <w:rFonts w:hint="eastAsia" w:ascii="方正仿宋简体" w:hAnsi="方正仿宋简体" w:eastAsia="方正仿宋_GBK" w:cs="方正仿宋简体"/>
                <w:color w:val="auto"/>
                <w:kern w:val="0"/>
                <w:sz w:val="21"/>
                <w:szCs w:val="21"/>
                <w:lang w:val="en-US" w:eastAsia="zh-CN" w:bidi="ar-SA"/>
              </w:rPr>
              <w:t>以上七万元以下罚款</w:t>
            </w:r>
          </w:p>
        </w:tc>
        <w:tc>
          <w:tcPr>
            <w:tcW w:w="1191" w:type="dxa"/>
            <w:vMerge w:val="continue"/>
            <w:shd w:val="clear" w:color="auto" w:fill="auto"/>
            <w:noWrap w:val="0"/>
            <w:vAlign w:val="center"/>
          </w:tcPr>
          <w:p w14:paraId="4E3319B1">
            <w:pPr>
              <w:pageBreakBefore w:val="0"/>
              <w:widowControl/>
              <w:kinsoku/>
              <w:wordWrap/>
              <w:overflowPunct/>
              <w:topLinePunct w:val="0"/>
              <w:bidi w:val="0"/>
              <w:spacing w:beforeAutospacing="0" w:afterAutospacing="0"/>
              <w:jc w:val="both"/>
              <w:rPr>
                <w:rFonts w:hint="eastAsia" w:ascii="方正仿宋简体" w:hAnsi="方正仿宋简体" w:eastAsia="方正仿宋简体" w:cs="方正仿宋简体"/>
                <w:color w:val="auto"/>
                <w:spacing w:val="8"/>
                <w:sz w:val="21"/>
                <w:szCs w:val="21"/>
              </w:rPr>
            </w:pPr>
          </w:p>
        </w:tc>
      </w:tr>
      <w:tr w14:paraId="2DB16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4" w:hRule="atLeast"/>
          <w:jc w:val="center"/>
        </w:trPr>
        <w:tc>
          <w:tcPr>
            <w:tcW w:w="680" w:type="dxa"/>
            <w:vMerge w:val="continue"/>
            <w:shd w:val="clear" w:color="auto" w:fill="auto"/>
            <w:noWrap w:val="0"/>
            <w:vAlign w:val="center"/>
          </w:tcPr>
          <w:p w14:paraId="0C8F0F50">
            <w:pPr>
              <w:pageBreakBefore w:val="0"/>
              <w:widowControl/>
              <w:kinsoku/>
              <w:wordWrap/>
              <w:overflowPunct/>
              <w:topLinePunct w:val="0"/>
              <w:bidi w:val="0"/>
              <w:spacing w:beforeAutospacing="0" w:afterAutospacing="0"/>
              <w:jc w:val="center"/>
              <w:rPr>
                <w:rFonts w:hint="default" w:ascii="方正仿宋简体" w:hAnsi="方正仿宋简体" w:eastAsia="方正仿宋简体" w:cs="方正仿宋简体"/>
                <w:color w:val="auto"/>
                <w:kern w:val="0"/>
                <w:sz w:val="21"/>
                <w:szCs w:val="21"/>
                <w:lang w:val="en-US" w:eastAsia="zh-CN" w:bidi="ar-SA"/>
              </w:rPr>
            </w:pPr>
          </w:p>
        </w:tc>
        <w:tc>
          <w:tcPr>
            <w:tcW w:w="1166" w:type="dxa"/>
            <w:vMerge w:val="continue"/>
            <w:shd w:val="clear" w:color="auto" w:fill="auto"/>
            <w:noWrap w:val="0"/>
            <w:vAlign w:val="center"/>
          </w:tcPr>
          <w:p w14:paraId="5A311708">
            <w:pPr>
              <w:pageBreakBefore w:val="0"/>
              <w:widowControl/>
              <w:kinsoku/>
              <w:wordWrap/>
              <w:overflowPunct/>
              <w:topLinePunct w:val="0"/>
              <w:bidi w:val="0"/>
              <w:spacing w:beforeAutospacing="0" w:afterAutospacing="0"/>
              <w:jc w:val="center"/>
              <w:rPr>
                <w:rFonts w:hint="eastAsia" w:ascii="方正仿宋简体" w:hAnsi="方正仿宋简体" w:eastAsia="方正仿宋简体" w:cs="方正仿宋简体"/>
                <w:color w:val="auto"/>
                <w:kern w:val="0"/>
                <w:sz w:val="21"/>
                <w:szCs w:val="21"/>
                <w:lang w:val="en-US" w:eastAsia="zh-CN" w:bidi="ar-SA"/>
              </w:rPr>
            </w:pPr>
          </w:p>
        </w:tc>
        <w:tc>
          <w:tcPr>
            <w:tcW w:w="1329" w:type="dxa"/>
            <w:vMerge w:val="continue"/>
            <w:shd w:val="clear" w:color="auto" w:fill="auto"/>
            <w:noWrap w:val="0"/>
            <w:vAlign w:val="center"/>
          </w:tcPr>
          <w:p w14:paraId="53AC451C">
            <w:pPr>
              <w:pageBreakBefore w:val="0"/>
              <w:widowControl/>
              <w:kinsoku/>
              <w:wordWrap/>
              <w:overflowPunct/>
              <w:topLinePunct w:val="0"/>
              <w:bidi w:val="0"/>
              <w:spacing w:beforeAutospacing="0" w:afterAutospacing="0"/>
              <w:jc w:val="both"/>
              <w:rPr>
                <w:rFonts w:hint="eastAsia" w:ascii="方正仿宋简体" w:hAnsi="方正仿宋简体" w:eastAsia="方正仿宋简体" w:cs="方正仿宋简体"/>
                <w:color w:val="auto"/>
                <w:kern w:val="0"/>
                <w:sz w:val="21"/>
                <w:szCs w:val="21"/>
                <w:lang w:val="en-US" w:eastAsia="zh-CN" w:bidi="ar-SA"/>
              </w:rPr>
            </w:pPr>
          </w:p>
        </w:tc>
        <w:tc>
          <w:tcPr>
            <w:tcW w:w="2063" w:type="dxa"/>
            <w:gridSpan w:val="2"/>
            <w:vMerge w:val="continue"/>
            <w:shd w:val="clear" w:color="auto" w:fill="auto"/>
            <w:noWrap w:val="0"/>
            <w:vAlign w:val="center"/>
          </w:tcPr>
          <w:p w14:paraId="0B66F1BB">
            <w:pPr>
              <w:pageBreakBefore w:val="0"/>
              <w:widowControl/>
              <w:kinsoku/>
              <w:wordWrap/>
              <w:overflowPunct/>
              <w:topLinePunct w:val="0"/>
              <w:bidi w:val="0"/>
              <w:spacing w:beforeAutospacing="0" w:afterAutospacing="0"/>
              <w:jc w:val="both"/>
              <w:rPr>
                <w:rFonts w:hint="eastAsia" w:ascii="方正仿宋简体" w:hAnsi="方正仿宋简体" w:eastAsia="方正仿宋简体" w:cs="方正仿宋简体"/>
                <w:color w:val="auto"/>
                <w:kern w:val="0"/>
                <w:sz w:val="21"/>
                <w:szCs w:val="21"/>
                <w:lang w:val="en-US" w:eastAsia="zh-CN" w:bidi="ar-SA"/>
              </w:rPr>
            </w:pPr>
          </w:p>
        </w:tc>
        <w:tc>
          <w:tcPr>
            <w:tcW w:w="1339" w:type="dxa"/>
            <w:vMerge w:val="continue"/>
            <w:shd w:val="clear" w:color="auto" w:fill="auto"/>
            <w:noWrap w:val="0"/>
            <w:vAlign w:val="center"/>
          </w:tcPr>
          <w:p w14:paraId="2B4AC398">
            <w:pPr>
              <w:pageBreakBefore w:val="0"/>
              <w:widowControl/>
              <w:kinsoku/>
              <w:wordWrap/>
              <w:overflowPunct/>
              <w:topLinePunct w:val="0"/>
              <w:bidi w:val="0"/>
              <w:spacing w:beforeAutospacing="0" w:afterAutospacing="0"/>
              <w:jc w:val="both"/>
              <w:rPr>
                <w:rFonts w:hint="eastAsia" w:ascii="方正仿宋简体" w:hAnsi="方正仿宋简体" w:eastAsia="方正仿宋简体" w:cs="方正仿宋简体"/>
                <w:color w:val="auto"/>
                <w:kern w:val="0"/>
                <w:sz w:val="21"/>
                <w:szCs w:val="21"/>
                <w:lang w:val="en-US" w:eastAsia="zh-CN" w:bidi="ar-SA"/>
              </w:rPr>
            </w:pPr>
          </w:p>
        </w:tc>
        <w:tc>
          <w:tcPr>
            <w:tcW w:w="1191" w:type="dxa"/>
            <w:shd w:val="clear" w:color="auto" w:fill="auto"/>
            <w:noWrap w:val="0"/>
            <w:vAlign w:val="center"/>
          </w:tcPr>
          <w:p w14:paraId="4057B932">
            <w:pPr>
              <w:pageBreakBefore w:val="0"/>
              <w:widowControl/>
              <w:kinsoku/>
              <w:wordWrap/>
              <w:overflowPunct/>
              <w:topLinePunct w:val="0"/>
              <w:bidi w:val="0"/>
              <w:spacing w:beforeAutospacing="0" w:afterAutospacing="0"/>
              <w:jc w:val="center"/>
              <w:rPr>
                <w:rFonts w:hint="eastAsia" w:ascii="方正仿宋简体" w:hAnsi="方正仿宋简体" w:eastAsia="方正仿宋简体" w:cs="方正仿宋简体"/>
                <w:color w:val="auto"/>
                <w:kern w:val="0"/>
                <w:sz w:val="21"/>
                <w:szCs w:val="21"/>
                <w:lang w:val="en-US" w:eastAsia="zh-CN" w:bidi="ar-SA"/>
              </w:rPr>
            </w:pPr>
            <w:r>
              <w:rPr>
                <w:rFonts w:hint="eastAsia" w:ascii="方正仿宋简体" w:hAnsi="方正仿宋简体" w:eastAsia="方正仿宋简体" w:cs="方正仿宋简体"/>
                <w:color w:val="auto"/>
                <w:kern w:val="0"/>
                <w:sz w:val="21"/>
                <w:szCs w:val="21"/>
                <w:lang w:val="en-US" w:eastAsia="zh-CN" w:bidi="ar-SA"/>
              </w:rPr>
              <w:t>严重</w:t>
            </w:r>
          </w:p>
        </w:tc>
        <w:tc>
          <w:tcPr>
            <w:tcW w:w="4252" w:type="dxa"/>
            <w:vMerge w:val="continue"/>
            <w:shd w:val="clear" w:color="auto" w:fill="auto"/>
            <w:noWrap w:val="0"/>
            <w:vAlign w:val="center"/>
          </w:tcPr>
          <w:p w14:paraId="51CC24B5">
            <w:pPr>
              <w:pageBreakBefore w:val="0"/>
              <w:widowControl/>
              <w:kinsoku/>
              <w:wordWrap/>
              <w:overflowPunct/>
              <w:topLinePunct w:val="0"/>
              <w:bidi w:val="0"/>
              <w:spacing w:beforeAutospacing="0" w:afterAutospacing="0"/>
              <w:jc w:val="both"/>
              <w:rPr>
                <w:rFonts w:hint="eastAsia" w:ascii="方正仿宋简体" w:hAnsi="方正仿宋简体" w:eastAsia="方正仿宋简体" w:cs="方正仿宋简体"/>
                <w:color w:val="auto"/>
                <w:kern w:val="0"/>
                <w:sz w:val="21"/>
                <w:szCs w:val="21"/>
                <w:lang w:val="en-US" w:eastAsia="zh-CN" w:bidi="ar-SA"/>
              </w:rPr>
            </w:pPr>
          </w:p>
        </w:tc>
        <w:tc>
          <w:tcPr>
            <w:tcW w:w="1701" w:type="dxa"/>
            <w:shd w:val="clear" w:color="auto" w:fill="auto"/>
            <w:noWrap w:val="0"/>
            <w:vAlign w:val="center"/>
          </w:tcPr>
          <w:p w14:paraId="17708242">
            <w:pPr>
              <w:pageBreakBefore w:val="0"/>
              <w:widowControl/>
              <w:kinsoku/>
              <w:wordWrap/>
              <w:overflowPunct/>
              <w:topLinePunct w:val="0"/>
              <w:bidi w:val="0"/>
              <w:spacing w:beforeAutospacing="0" w:afterAutospacing="0"/>
              <w:jc w:val="both"/>
              <w:rPr>
                <w:rFonts w:hint="eastAsia" w:ascii="方正仿宋简体" w:hAnsi="方正仿宋简体" w:eastAsia="方正仿宋简体" w:cs="方正仿宋简体"/>
                <w:color w:val="auto"/>
                <w:kern w:val="0"/>
                <w:sz w:val="21"/>
                <w:szCs w:val="21"/>
                <w:lang w:val="en-US" w:eastAsia="zh-CN" w:bidi="ar-SA"/>
              </w:rPr>
            </w:pPr>
            <w:r>
              <w:rPr>
                <w:rFonts w:hint="eastAsia" w:ascii="方正仿宋简体" w:hAnsi="方正仿宋简体" w:eastAsia="方正仿宋_GBK" w:cs="方正仿宋简体"/>
                <w:color w:val="auto"/>
                <w:kern w:val="0"/>
                <w:sz w:val="21"/>
                <w:szCs w:val="21"/>
                <w:lang w:val="en-US" w:eastAsia="zh-CN" w:bidi="ar-SA"/>
              </w:rPr>
              <w:t>处七万元以上十万元以下罚款</w:t>
            </w:r>
          </w:p>
        </w:tc>
        <w:tc>
          <w:tcPr>
            <w:tcW w:w="1191" w:type="dxa"/>
            <w:vMerge w:val="continue"/>
            <w:shd w:val="clear" w:color="auto" w:fill="auto"/>
            <w:noWrap w:val="0"/>
            <w:vAlign w:val="center"/>
          </w:tcPr>
          <w:p w14:paraId="01D9A92F">
            <w:pPr>
              <w:pageBreakBefore w:val="0"/>
              <w:widowControl/>
              <w:kinsoku/>
              <w:wordWrap/>
              <w:overflowPunct/>
              <w:topLinePunct w:val="0"/>
              <w:bidi w:val="0"/>
              <w:spacing w:beforeAutospacing="0" w:afterAutospacing="0"/>
              <w:jc w:val="both"/>
              <w:rPr>
                <w:rFonts w:hint="eastAsia" w:ascii="方正仿宋简体" w:hAnsi="方正仿宋简体" w:eastAsia="方正仿宋简体" w:cs="方正仿宋简体"/>
                <w:color w:val="auto"/>
                <w:spacing w:val="8"/>
                <w:sz w:val="21"/>
                <w:szCs w:val="21"/>
              </w:rPr>
            </w:pPr>
          </w:p>
        </w:tc>
      </w:tr>
      <w:tr w14:paraId="06BEB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4" w:hRule="atLeast"/>
          <w:jc w:val="center"/>
        </w:trPr>
        <w:tc>
          <w:tcPr>
            <w:tcW w:w="680" w:type="dxa"/>
            <w:vMerge w:val="restart"/>
            <w:shd w:val="clear" w:color="auto" w:fill="auto"/>
            <w:noWrap w:val="0"/>
            <w:vAlign w:val="center"/>
          </w:tcPr>
          <w:p w14:paraId="6FAD9F59">
            <w:pPr>
              <w:pageBreakBefore w:val="0"/>
              <w:widowControl/>
              <w:kinsoku/>
              <w:wordWrap/>
              <w:overflowPunct/>
              <w:topLinePunct w:val="0"/>
              <w:bidi w:val="0"/>
              <w:spacing w:beforeAutospacing="0" w:afterAutospacing="0"/>
              <w:jc w:val="center"/>
              <w:rPr>
                <w:rFonts w:hint="default" w:ascii="方正仿宋简体" w:hAnsi="方正仿宋简体" w:eastAsia="方正仿宋简体" w:cs="方正仿宋简体"/>
                <w:color w:val="auto"/>
                <w:kern w:val="0"/>
                <w:sz w:val="21"/>
                <w:szCs w:val="21"/>
                <w:lang w:val="en-US" w:eastAsia="zh-CN" w:bidi="ar-SA"/>
              </w:rPr>
            </w:pPr>
            <w:r>
              <w:rPr>
                <w:rFonts w:hint="eastAsia" w:ascii="方正仿宋简体" w:hAnsi="方正仿宋简体" w:eastAsia="方正仿宋简体" w:cs="方正仿宋简体"/>
                <w:color w:val="auto"/>
                <w:kern w:val="0"/>
                <w:sz w:val="21"/>
                <w:szCs w:val="21"/>
                <w:lang w:val="en-US" w:eastAsia="zh-CN" w:bidi="ar-SA"/>
              </w:rPr>
              <w:t>1</w:t>
            </w:r>
          </w:p>
        </w:tc>
        <w:tc>
          <w:tcPr>
            <w:tcW w:w="1166" w:type="dxa"/>
            <w:vMerge w:val="restart"/>
            <w:shd w:val="clear" w:color="auto" w:fill="auto"/>
            <w:noWrap w:val="0"/>
            <w:vAlign w:val="center"/>
          </w:tcPr>
          <w:p w14:paraId="549DAEE2">
            <w:pPr>
              <w:pageBreakBefore w:val="0"/>
              <w:widowControl/>
              <w:kinsoku/>
              <w:wordWrap/>
              <w:overflowPunct/>
              <w:topLinePunct w:val="0"/>
              <w:bidi w:val="0"/>
              <w:spacing w:beforeAutospacing="0" w:afterAutospacing="0"/>
              <w:jc w:val="center"/>
              <w:rPr>
                <w:rFonts w:hint="eastAsia" w:ascii="方正仿宋简体" w:hAnsi="方正仿宋简体" w:eastAsia="方正仿宋简体" w:cs="方正仿宋简体"/>
                <w:color w:val="auto"/>
                <w:kern w:val="0"/>
                <w:sz w:val="21"/>
                <w:szCs w:val="21"/>
                <w:lang w:val="en-US" w:eastAsia="zh-CN" w:bidi="ar-SA"/>
              </w:rPr>
            </w:pPr>
          </w:p>
        </w:tc>
        <w:tc>
          <w:tcPr>
            <w:tcW w:w="1329" w:type="dxa"/>
            <w:vMerge w:val="restart"/>
            <w:shd w:val="clear" w:color="auto" w:fill="auto"/>
            <w:noWrap w:val="0"/>
            <w:vAlign w:val="center"/>
          </w:tcPr>
          <w:p w14:paraId="532D7DB8">
            <w:pPr>
              <w:pageBreakBefore w:val="0"/>
              <w:widowControl/>
              <w:kinsoku/>
              <w:wordWrap/>
              <w:overflowPunct/>
              <w:topLinePunct w:val="0"/>
              <w:bidi w:val="0"/>
              <w:spacing w:beforeAutospacing="0" w:afterAutospacing="0"/>
              <w:jc w:val="both"/>
              <w:rPr>
                <w:rFonts w:hint="eastAsia" w:ascii="方正仿宋简体" w:hAnsi="方正仿宋简体" w:eastAsia="方正仿宋简体" w:cs="方正仿宋简体"/>
                <w:color w:val="auto"/>
                <w:kern w:val="0"/>
                <w:sz w:val="21"/>
                <w:szCs w:val="21"/>
                <w:lang w:val="en-US" w:eastAsia="zh-CN" w:bidi="ar-SA"/>
              </w:rPr>
            </w:pPr>
            <w:r>
              <w:rPr>
                <w:rFonts w:hint="eastAsia" w:ascii="方正仿宋简体" w:hAnsi="方正仿宋简体" w:eastAsia="方正仿宋_GBK" w:cs="方正仿宋简体"/>
                <w:color w:val="auto"/>
                <w:kern w:val="0"/>
                <w:sz w:val="21"/>
                <w:szCs w:val="21"/>
                <w:lang w:val="en-US" w:eastAsia="zh-CN" w:bidi="ar-SA"/>
              </w:rPr>
              <w:t>依法应当进行消防设计审查的建设工程，未经依法审查或者审查不合格，擅自施工的；依法应当进行消防验收的建设工程，未经消防验收或者消防验收不合格，擅自投入使用的</w:t>
            </w:r>
          </w:p>
        </w:tc>
        <w:tc>
          <w:tcPr>
            <w:tcW w:w="2063" w:type="dxa"/>
            <w:gridSpan w:val="2"/>
            <w:vMerge w:val="restart"/>
            <w:shd w:val="clear" w:color="auto" w:fill="auto"/>
            <w:noWrap w:val="0"/>
            <w:vAlign w:val="center"/>
          </w:tcPr>
          <w:p w14:paraId="387EE70A">
            <w:pPr>
              <w:pageBreakBefore w:val="0"/>
              <w:widowControl/>
              <w:kinsoku/>
              <w:wordWrap/>
              <w:overflowPunct/>
              <w:topLinePunct w:val="0"/>
              <w:bidi w:val="0"/>
              <w:spacing w:beforeAutospacing="0" w:afterAutospacing="0"/>
              <w:jc w:val="both"/>
              <w:rPr>
                <w:rFonts w:hint="eastAsia" w:ascii="方正仿宋简体" w:hAnsi="方正仿宋简体" w:eastAsia="方正仿宋_GBK" w:cs="方正仿宋简体"/>
                <w:color w:val="auto"/>
                <w:kern w:val="0"/>
                <w:sz w:val="21"/>
                <w:szCs w:val="21"/>
                <w:highlight w:val="none"/>
                <w:lang w:val="en-US" w:eastAsia="zh-CN" w:bidi="ar-SA"/>
              </w:rPr>
            </w:pPr>
            <w:r>
              <w:rPr>
                <w:rFonts w:hint="eastAsia" w:ascii="方正仿宋简体" w:hAnsi="方正仿宋简体" w:eastAsia="方正仿宋_GBK" w:cs="方正仿宋简体"/>
                <w:color w:val="auto"/>
                <w:kern w:val="0"/>
                <w:sz w:val="21"/>
                <w:szCs w:val="21"/>
                <w:highlight w:val="none"/>
                <w:lang w:val="en-US" w:eastAsia="zh-CN" w:bidi="ar-SA"/>
              </w:rPr>
              <w:t>《中华人民共和国消防法》第十一条 国务院住房和城乡建设主管部门规定的特殊建设工程，建设单位应当将消防设计文件报送住房和城乡建设主管部门审查，住房和城乡建设主管部门依法对审查的结果负责。</w:t>
            </w:r>
          </w:p>
          <w:p w14:paraId="414E1B12">
            <w:pPr>
              <w:pageBreakBefore w:val="0"/>
              <w:widowControl/>
              <w:kinsoku/>
              <w:wordWrap/>
              <w:overflowPunct/>
              <w:topLinePunct w:val="0"/>
              <w:bidi w:val="0"/>
              <w:spacing w:beforeAutospacing="0" w:afterAutospacing="0"/>
              <w:jc w:val="both"/>
              <w:rPr>
                <w:rFonts w:hint="eastAsia" w:ascii="方正仿宋简体" w:hAnsi="方正仿宋简体" w:eastAsia="方正仿宋_GBK" w:cs="方正仿宋简体"/>
                <w:color w:val="auto"/>
                <w:kern w:val="0"/>
                <w:sz w:val="21"/>
                <w:szCs w:val="21"/>
                <w:highlight w:val="none"/>
                <w:lang w:val="en-US" w:eastAsia="zh-CN" w:bidi="ar-SA"/>
              </w:rPr>
            </w:pPr>
            <w:r>
              <w:rPr>
                <w:rFonts w:hint="eastAsia" w:ascii="方正仿宋简体" w:hAnsi="方正仿宋简体" w:eastAsia="方正仿宋_GBK" w:cs="方正仿宋简体"/>
                <w:color w:val="auto"/>
                <w:kern w:val="0"/>
                <w:sz w:val="21"/>
                <w:szCs w:val="21"/>
                <w:highlight w:val="none"/>
                <w:lang w:val="en-US" w:eastAsia="zh-CN" w:bidi="ar-SA"/>
              </w:rPr>
              <w:t>前款规定以外的其他建设工程，建设单位申请领取施工许可证或者申请批准开工报告时应当提供满足施工需要的消防设计图纸及技术资料。</w:t>
            </w:r>
          </w:p>
          <w:p w14:paraId="44B04358">
            <w:pPr>
              <w:pageBreakBefore w:val="0"/>
              <w:widowControl/>
              <w:kinsoku/>
              <w:wordWrap/>
              <w:overflowPunct/>
              <w:topLinePunct w:val="0"/>
              <w:bidi w:val="0"/>
              <w:spacing w:beforeAutospacing="0" w:afterAutospacing="0"/>
              <w:jc w:val="both"/>
              <w:rPr>
                <w:rFonts w:hint="eastAsia" w:ascii="方正仿宋简体" w:hAnsi="方正仿宋简体" w:eastAsia="方正仿宋简体" w:cs="方正仿宋简体"/>
                <w:color w:val="auto"/>
                <w:kern w:val="0"/>
                <w:sz w:val="21"/>
                <w:szCs w:val="21"/>
                <w:lang w:val="en-US" w:eastAsia="zh-CN" w:bidi="ar-SA"/>
              </w:rPr>
            </w:pPr>
            <w:r>
              <w:rPr>
                <w:rFonts w:hint="eastAsia" w:ascii="方正仿宋简体" w:hAnsi="方正仿宋简体" w:eastAsia="方正仿宋_GBK" w:cs="方正仿宋简体"/>
                <w:color w:val="auto"/>
                <w:kern w:val="0"/>
                <w:sz w:val="21"/>
                <w:szCs w:val="21"/>
                <w:highlight w:val="none"/>
                <w:lang w:val="en-US" w:eastAsia="zh-CN" w:bidi="ar-SA"/>
              </w:rPr>
              <w:t>第十二条 特殊建设工程未经消防设计审查或者审查不合格的，建设单位、施工单位不得施工；其他建设工程，建设单位未提供满足施工需要的消防设计图纸及技术资料的，有关部门不得发放施工许可证或者批准开工报告。</w:t>
            </w:r>
          </w:p>
        </w:tc>
        <w:tc>
          <w:tcPr>
            <w:tcW w:w="1339" w:type="dxa"/>
            <w:vMerge w:val="restart"/>
            <w:shd w:val="clear" w:color="auto" w:fill="auto"/>
            <w:noWrap w:val="0"/>
            <w:vAlign w:val="center"/>
          </w:tcPr>
          <w:p w14:paraId="768294EE">
            <w:pPr>
              <w:pageBreakBefore w:val="0"/>
              <w:widowControl/>
              <w:kinsoku/>
              <w:wordWrap/>
              <w:overflowPunct/>
              <w:topLinePunct w:val="0"/>
              <w:bidi w:val="0"/>
              <w:spacing w:beforeAutospacing="0" w:afterAutospacing="0"/>
              <w:jc w:val="both"/>
              <w:rPr>
                <w:rFonts w:hint="eastAsia" w:ascii="方正仿宋简体" w:hAnsi="方正仿宋简体" w:eastAsia="方正仿宋简体" w:cs="方正仿宋简体"/>
                <w:color w:val="auto"/>
                <w:kern w:val="0"/>
                <w:sz w:val="21"/>
                <w:szCs w:val="21"/>
                <w:lang w:val="en-US" w:eastAsia="zh-CN" w:bidi="ar-SA"/>
              </w:rPr>
            </w:pPr>
            <w:r>
              <w:rPr>
                <w:rFonts w:hint="eastAsia" w:ascii="方正仿宋简体" w:hAnsi="方正仿宋简体" w:eastAsia="方正仿宋_GBK" w:cs="方正仿宋简体"/>
                <w:color w:val="auto"/>
                <w:kern w:val="0"/>
                <w:sz w:val="21"/>
                <w:szCs w:val="21"/>
                <w:highlight w:val="none"/>
                <w:lang w:val="en-US" w:eastAsia="zh-CN" w:bidi="ar-SA"/>
              </w:rPr>
              <w:t>《中华人民共和国消防法》第五十八条</w:t>
            </w:r>
            <w:r>
              <w:rPr>
                <w:rFonts w:hint="eastAsia" w:ascii="方正仿宋简体" w:hAnsi="方正仿宋简体" w:eastAsia="方正仿宋_GBK" w:cs="方正仿宋简体"/>
                <w:color w:val="auto"/>
                <w:kern w:val="0"/>
                <w:sz w:val="21"/>
                <w:szCs w:val="21"/>
                <w:lang w:val="en-US" w:eastAsia="zh-CN" w:bidi="ar-SA"/>
              </w:rPr>
              <w:t>第一款第一、二项</w:t>
            </w:r>
            <w:r>
              <w:rPr>
                <w:rFonts w:hint="eastAsia" w:ascii="方正仿宋简体" w:hAnsi="方正仿宋简体" w:eastAsia="方正仿宋_GBK" w:cs="方正仿宋简体"/>
                <w:color w:val="auto"/>
                <w:kern w:val="0"/>
                <w:sz w:val="21"/>
                <w:szCs w:val="21"/>
                <w:highlight w:val="none"/>
                <w:lang w:val="en-US" w:eastAsia="zh-CN" w:bidi="ar-SA"/>
              </w:rPr>
              <w:t xml:space="preserve"> </w:t>
            </w:r>
            <w:r>
              <w:rPr>
                <w:rFonts w:hint="eastAsia" w:ascii="方正仿宋简体" w:hAnsi="方正仿宋简体" w:eastAsia="方正仿宋_GBK" w:cs="方正仿宋简体"/>
                <w:color w:val="auto"/>
                <w:kern w:val="0"/>
                <w:sz w:val="21"/>
                <w:szCs w:val="21"/>
                <w:lang w:val="en-US" w:eastAsia="zh-CN" w:bidi="ar-SA"/>
              </w:rPr>
              <w:t>“依法应当进行消防设计审查的建设工程，未经依法审查或者审查不合格，擅自施工的；依法应当进行消防验收的建设工程，未经消防验收或者消防验收不合格，擅自投入使用的”由住房和城乡建设主管部门，责令其停止施工或者停止使用，并处十万元以上二十万元以下罚款</w:t>
            </w:r>
          </w:p>
        </w:tc>
        <w:tc>
          <w:tcPr>
            <w:tcW w:w="1191" w:type="dxa"/>
            <w:shd w:val="clear" w:color="auto" w:fill="auto"/>
            <w:noWrap w:val="0"/>
            <w:vAlign w:val="center"/>
          </w:tcPr>
          <w:p w14:paraId="093996AF">
            <w:pPr>
              <w:pageBreakBefore w:val="0"/>
              <w:widowControl/>
              <w:kinsoku/>
              <w:wordWrap/>
              <w:overflowPunct/>
              <w:topLinePunct w:val="0"/>
              <w:bidi w:val="0"/>
              <w:spacing w:beforeAutospacing="0" w:afterAutospacing="0"/>
              <w:jc w:val="center"/>
              <w:rPr>
                <w:rFonts w:hint="default" w:ascii="方正仿宋简体" w:hAnsi="方正仿宋简体" w:eastAsia="方正仿宋简体" w:cs="方正仿宋简体"/>
                <w:color w:val="auto"/>
                <w:kern w:val="0"/>
                <w:sz w:val="21"/>
                <w:szCs w:val="21"/>
                <w:lang w:val="en-US" w:eastAsia="zh-CN" w:bidi="ar-SA"/>
              </w:rPr>
            </w:pPr>
            <w:r>
              <w:rPr>
                <w:rFonts w:hint="eastAsia" w:ascii="方正仿宋简体" w:hAnsi="方正仿宋简体" w:eastAsia="方正仿宋_GBK" w:cs="方正仿宋简体"/>
                <w:color w:val="auto"/>
                <w:sz w:val="21"/>
                <w:szCs w:val="21"/>
                <w:lang w:val="en-US" w:eastAsia="zh-CN"/>
              </w:rPr>
              <w:t>较轻</w:t>
            </w:r>
          </w:p>
        </w:tc>
        <w:tc>
          <w:tcPr>
            <w:tcW w:w="4252" w:type="dxa"/>
            <w:vMerge w:val="restart"/>
            <w:shd w:val="clear" w:color="auto" w:fill="auto"/>
            <w:noWrap w:val="0"/>
            <w:vAlign w:val="center"/>
          </w:tcPr>
          <w:p w14:paraId="6FB2CB45">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firstLine="420" w:firstLineChars="200"/>
              <w:jc w:val="both"/>
              <w:textAlignment w:val="auto"/>
              <w:rPr>
                <w:rFonts w:hint="eastAsia" w:ascii="方正仿宋简体" w:hAnsi="方正仿宋简体" w:eastAsia="方正仿宋_GBK" w:cs="方正仿宋简体"/>
                <w:color w:val="auto"/>
                <w:kern w:val="0"/>
                <w:sz w:val="21"/>
                <w:szCs w:val="21"/>
                <w:lang w:val="en-US" w:eastAsia="zh-CN" w:bidi="ar-SA"/>
              </w:rPr>
            </w:pPr>
            <w:r>
              <w:rPr>
                <w:rFonts w:hint="eastAsia" w:ascii="方正仿宋简体" w:hAnsi="方正仿宋简体" w:eastAsia="方正仿宋_GBK" w:cs="方正仿宋简体"/>
                <w:color w:val="auto"/>
                <w:kern w:val="0"/>
                <w:sz w:val="21"/>
                <w:szCs w:val="21"/>
                <w:lang w:val="en-US" w:eastAsia="zh-CN" w:bidi="ar-SA"/>
              </w:rPr>
              <w:t>（一）建筑总面积三万平方米以上、不足五万平方米的宾馆、饭店、商场、市场；</w:t>
            </w:r>
          </w:p>
          <w:p w14:paraId="22D5868A">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firstLine="420" w:firstLineChars="200"/>
              <w:jc w:val="both"/>
              <w:textAlignment w:val="auto"/>
              <w:rPr>
                <w:rFonts w:hint="eastAsia" w:ascii="方正仿宋简体" w:hAnsi="方正仿宋简体" w:eastAsia="方正仿宋_GBK" w:cs="方正仿宋简体"/>
                <w:color w:val="auto"/>
                <w:kern w:val="0"/>
                <w:sz w:val="21"/>
                <w:szCs w:val="21"/>
                <w:lang w:val="en-US" w:eastAsia="zh-CN" w:bidi="ar-SA"/>
              </w:rPr>
            </w:pPr>
            <w:r>
              <w:rPr>
                <w:rFonts w:hint="eastAsia" w:ascii="方正仿宋简体" w:hAnsi="方正仿宋简体" w:eastAsia="方正仿宋_GBK" w:cs="方正仿宋简体"/>
                <w:color w:val="auto"/>
                <w:kern w:val="0"/>
                <w:sz w:val="21"/>
                <w:szCs w:val="21"/>
                <w:lang w:val="en-US" w:eastAsia="zh-CN" w:bidi="ar-SA"/>
              </w:rPr>
              <w:t>（二）建筑总面积五千平方米以上、不足一万平方米的影剧院，公共图书馆的阅览室，营业性室内健身、休闲场馆，医院的门诊楼，大学的教学楼、图书馆、食堂，劳动密集型企业的生产加工车间，寺庙、教堂；</w:t>
            </w:r>
          </w:p>
          <w:p w14:paraId="1AB72D07">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firstLine="420" w:firstLineChars="200"/>
              <w:jc w:val="both"/>
              <w:textAlignment w:val="auto"/>
              <w:rPr>
                <w:rFonts w:hint="eastAsia" w:ascii="方正仿宋简体" w:hAnsi="方正仿宋简体" w:eastAsia="方正仿宋_GBK" w:cs="方正仿宋简体"/>
                <w:color w:val="auto"/>
                <w:kern w:val="0"/>
                <w:sz w:val="21"/>
                <w:szCs w:val="21"/>
                <w:lang w:val="en-US" w:eastAsia="zh-CN" w:bidi="ar-SA"/>
              </w:rPr>
            </w:pPr>
            <w:r>
              <w:rPr>
                <w:rFonts w:hint="eastAsia" w:ascii="方正仿宋简体" w:hAnsi="方正仿宋简体" w:eastAsia="方正仿宋_GBK" w:cs="方正仿宋简体"/>
                <w:color w:val="auto"/>
                <w:kern w:val="0"/>
                <w:sz w:val="21"/>
                <w:szCs w:val="21"/>
                <w:lang w:val="en-US" w:eastAsia="zh-CN" w:bidi="ar-SA"/>
              </w:rPr>
              <w:t>（三）建筑总面积五千平方米以上的托儿所、幼儿园的儿童用房，儿童游乐厅等室内儿童活动场所，养老院、福利院，医院、疗养院的病房楼，中小学校的教学楼、图书馆、食堂，学校的集体宿舍，劳动密集型企业的员工集体宿舍；</w:t>
            </w:r>
          </w:p>
          <w:p w14:paraId="65A576E6">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firstLine="420" w:firstLineChars="200"/>
              <w:jc w:val="both"/>
              <w:textAlignment w:val="auto"/>
              <w:rPr>
                <w:rFonts w:hint="eastAsia" w:ascii="方正仿宋简体" w:hAnsi="方正仿宋简体" w:eastAsia="方正仿宋_GBK" w:cs="方正仿宋简体"/>
                <w:color w:val="auto"/>
                <w:kern w:val="0"/>
                <w:sz w:val="21"/>
                <w:szCs w:val="21"/>
                <w:lang w:val="en-US" w:eastAsia="zh-CN" w:bidi="ar-SA"/>
              </w:rPr>
            </w:pPr>
            <w:r>
              <w:rPr>
                <w:rFonts w:hint="eastAsia" w:ascii="方正仿宋简体" w:hAnsi="方正仿宋简体" w:eastAsia="方正仿宋_GBK" w:cs="方正仿宋简体"/>
                <w:color w:val="auto"/>
                <w:kern w:val="0"/>
                <w:sz w:val="21"/>
                <w:szCs w:val="21"/>
                <w:lang w:val="en-US" w:eastAsia="zh-CN" w:bidi="ar-SA"/>
              </w:rPr>
              <w:t>（四）建筑总面积二千平方米以上、不足五千平方米的歌舞厅、录像厅、放映厅、卡拉OK厅、夜总会、游艺厅、桑拿浴室、网吧、酒吧，具有娱乐功能的餐馆、茶馆、咖啡厅；</w:t>
            </w:r>
          </w:p>
          <w:p w14:paraId="78F8B8CE">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firstLine="420" w:firstLineChars="200"/>
              <w:jc w:val="both"/>
              <w:textAlignment w:val="auto"/>
              <w:rPr>
                <w:rFonts w:hint="eastAsia" w:ascii="方正仿宋简体" w:hAnsi="方正仿宋简体" w:eastAsia="方正仿宋_GBK" w:cs="方正仿宋简体"/>
                <w:color w:val="auto"/>
                <w:kern w:val="0"/>
                <w:sz w:val="21"/>
                <w:szCs w:val="21"/>
                <w:lang w:val="en-US" w:eastAsia="zh-CN" w:bidi="ar-SA"/>
              </w:rPr>
            </w:pPr>
            <w:r>
              <w:rPr>
                <w:rFonts w:hint="eastAsia" w:ascii="方正仿宋简体" w:hAnsi="方正仿宋简体" w:eastAsia="方正仿宋_GBK" w:cs="方正仿宋简体"/>
                <w:color w:val="auto"/>
                <w:kern w:val="0"/>
                <w:sz w:val="21"/>
                <w:szCs w:val="21"/>
                <w:lang w:val="en-US" w:eastAsia="zh-CN" w:bidi="ar-SA"/>
              </w:rPr>
              <w:t>（五）建筑总面积一万平方米以上、不足三万平方米的国家机关办公楼、电力调度楼、电信楼、邮政楼、防灾指挥调度楼、广播电视楼、档案楼；</w:t>
            </w:r>
          </w:p>
          <w:p w14:paraId="3569054F">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firstLine="420" w:firstLineChars="200"/>
              <w:jc w:val="both"/>
              <w:textAlignment w:val="auto"/>
              <w:rPr>
                <w:rFonts w:hint="eastAsia" w:ascii="方正仿宋简体" w:hAnsi="方正仿宋简体" w:eastAsia="方正仿宋_GBK" w:cs="方正仿宋简体"/>
                <w:color w:val="auto"/>
                <w:kern w:val="0"/>
                <w:sz w:val="21"/>
                <w:szCs w:val="21"/>
                <w:lang w:val="en-US" w:eastAsia="zh-CN" w:bidi="ar-SA"/>
              </w:rPr>
            </w:pPr>
            <w:r>
              <w:rPr>
                <w:rFonts w:hint="eastAsia" w:ascii="方正仿宋简体" w:hAnsi="方正仿宋简体" w:eastAsia="方正仿宋_GBK" w:cs="方正仿宋简体"/>
                <w:color w:val="auto"/>
                <w:kern w:val="0"/>
                <w:sz w:val="21"/>
                <w:szCs w:val="21"/>
                <w:lang w:val="en-US" w:eastAsia="zh-CN" w:bidi="ar-SA"/>
              </w:rPr>
              <w:t>（六）单体建筑面积四万平方米以上、不足十万平方米或者建筑高度五十米以上不足一百米的公共建筑；</w:t>
            </w:r>
          </w:p>
          <w:p w14:paraId="091DE290">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firstLine="420" w:firstLineChars="200"/>
              <w:jc w:val="both"/>
              <w:textAlignment w:val="auto"/>
              <w:rPr>
                <w:rFonts w:hint="eastAsia" w:ascii="方正仿宋简体" w:hAnsi="方正仿宋简体" w:eastAsia="方正仿宋_GBK" w:cs="方正仿宋简体"/>
                <w:color w:val="auto"/>
                <w:kern w:val="0"/>
                <w:sz w:val="21"/>
                <w:szCs w:val="21"/>
                <w:lang w:val="en-US" w:eastAsia="zh-CN" w:bidi="ar-SA"/>
              </w:rPr>
            </w:pPr>
            <w:r>
              <w:rPr>
                <w:rFonts w:hint="eastAsia" w:ascii="方正仿宋简体" w:hAnsi="方正仿宋简体" w:eastAsia="方正仿宋_GBK" w:cs="方正仿宋简体"/>
                <w:color w:val="auto"/>
                <w:kern w:val="0"/>
                <w:sz w:val="21"/>
                <w:szCs w:val="21"/>
                <w:lang w:val="en-US" w:eastAsia="zh-CN" w:bidi="ar-SA"/>
              </w:rPr>
              <w:t>（七）国家标准规定的一类高层住宅建筑且建筑高度一百米以上；</w:t>
            </w:r>
          </w:p>
          <w:p w14:paraId="6A9A4B36">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firstLine="420" w:firstLineChars="200"/>
              <w:jc w:val="both"/>
              <w:textAlignment w:val="auto"/>
              <w:rPr>
                <w:rFonts w:hint="eastAsia" w:ascii="方正仿宋简体" w:hAnsi="方正仿宋简体" w:eastAsia="方正仿宋_GBK" w:cs="方正仿宋简体"/>
                <w:color w:val="auto"/>
                <w:kern w:val="0"/>
                <w:sz w:val="21"/>
                <w:szCs w:val="21"/>
                <w:lang w:val="en-US" w:eastAsia="zh-CN" w:bidi="ar-SA"/>
              </w:rPr>
            </w:pPr>
            <w:r>
              <w:rPr>
                <w:rFonts w:hint="eastAsia" w:ascii="方正仿宋简体" w:hAnsi="方正仿宋简体" w:eastAsia="方正仿宋_GBK" w:cs="方正仿宋简体"/>
                <w:color w:val="auto"/>
                <w:kern w:val="0"/>
                <w:sz w:val="21"/>
                <w:szCs w:val="21"/>
                <w:lang w:val="en-US" w:eastAsia="zh-CN" w:bidi="ar-SA"/>
              </w:rPr>
              <w:t>（八）生产、储存易燃易爆危险物品，液体、气体总储量一千立方米以上、不足三千立方米，固体总储量五千千克以上、不足十千千克的工厂、仓库，以及除加油加气站以外的易燃易爆气体和液体的充装站、供应站。</w:t>
            </w:r>
          </w:p>
          <w:p w14:paraId="584767D9">
            <w:pPr>
              <w:pageBreakBefore w:val="0"/>
              <w:widowControl/>
              <w:kinsoku/>
              <w:wordWrap/>
              <w:overflowPunct/>
              <w:topLinePunct w:val="0"/>
              <w:bidi w:val="0"/>
              <w:spacing w:beforeAutospacing="0" w:afterAutospacing="0"/>
              <w:jc w:val="both"/>
              <w:rPr>
                <w:rFonts w:hint="eastAsia" w:ascii="方正仿宋简体" w:hAnsi="方正仿宋简体" w:eastAsia="方正仿宋简体" w:cs="方正仿宋简体"/>
                <w:color w:val="auto"/>
                <w:kern w:val="0"/>
                <w:sz w:val="21"/>
                <w:szCs w:val="21"/>
                <w:lang w:val="en-US" w:eastAsia="zh-CN" w:bidi="ar-SA"/>
              </w:rPr>
            </w:pPr>
          </w:p>
        </w:tc>
        <w:tc>
          <w:tcPr>
            <w:tcW w:w="1701" w:type="dxa"/>
            <w:shd w:val="clear" w:color="auto" w:fill="auto"/>
            <w:noWrap w:val="0"/>
            <w:vAlign w:val="center"/>
          </w:tcPr>
          <w:p w14:paraId="6541A2E6">
            <w:pPr>
              <w:pageBreakBefore w:val="0"/>
              <w:widowControl/>
              <w:kinsoku/>
              <w:wordWrap/>
              <w:overflowPunct/>
              <w:topLinePunct w:val="0"/>
              <w:bidi w:val="0"/>
              <w:spacing w:beforeAutospacing="0" w:afterAutospacing="0"/>
              <w:jc w:val="both"/>
              <w:rPr>
                <w:rFonts w:hint="eastAsia" w:ascii="方正仿宋简体" w:hAnsi="方正仿宋简体" w:eastAsia="方正仿宋简体" w:cs="方正仿宋简体"/>
                <w:color w:val="auto"/>
                <w:kern w:val="0"/>
                <w:sz w:val="21"/>
                <w:szCs w:val="21"/>
                <w:lang w:val="en-US" w:eastAsia="zh-CN" w:bidi="ar-SA"/>
              </w:rPr>
            </w:pPr>
            <w:r>
              <w:rPr>
                <w:rFonts w:hint="eastAsia" w:ascii="方正仿宋简体" w:hAnsi="方正仿宋简体" w:eastAsia="方正仿宋_GBK" w:cs="方正仿宋简体"/>
                <w:color w:val="auto"/>
                <w:kern w:val="0"/>
                <w:sz w:val="21"/>
                <w:szCs w:val="21"/>
                <w:lang w:val="en-US" w:eastAsia="zh-CN" w:bidi="ar-SA"/>
              </w:rPr>
              <w:t>处十万元以上十三万元以下罚款</w:t>
            </w:r>
          </w:p>
        </w:tc>
        <w:tc>
          <w:tcPr>
            <w:tcW w:w="1191" w:type="dxa"/>
            <w:vMerge w:val="restart"/>
            <w:shd w:val="clear" w:color="auto" w:fill="auto"/>
            <w:noWrap w:val="0"/>
            <w:vAlign w:val="center"/>
          </w:tcPr>
          <w:p w14:paraId="6D8F0610">
            <w:pPr>
              <w:pageBreakBefore w:val="0"/>
              <w:widowControl/>
              <w:kinsoku/>
              <w:wordWrap/>
              <w:overflowPunct/>
              <w:topLinePunct w:val="0"/>
              <w:bidi w:val="0"/>
              <w:spacing w:beforeAutospacing="0" w:afterAutospacing="0"/>
              <w:jc w:val="both"/>
              <w:rPr>
                <w:rFonts w:hint="eastAsia" w:ascii="方正仿宋简体" w:hAnsi="方正仿宋简体" w:eastAsia="方正仿宋简体" w:cs="方正仿宋简体"/>
                <w:color w:val="auto"/>
                <w:spacing w:val="8"/>
                <w:sz w:val="21"/>
                <w:szCs w:val="21"/>
              </w:rPr>
            </w:pPr>
            <w:r>
              <w:rPr>
                <w:rFonts w:hint="eastAsia" w:ascii="方正仿宋简体" w:hAnsi="方正仿宋简体" w:eastAsia="方正仿宋_GBK" w:cs="方正仿宋简体"/>
                <w:color w:val="auto"/>
                <w:kern w:val="0"/>
                <w:sz w:val="21"/>
                <w:szCs w:val="21"/>
                <w:lang w:val="en-US" w:eastAsia="zh-CN" w:bidi="ar-SA"/>
              </w:rPr>
              <w:t>住房和城乡建设主管部门，责令其停止施工或者停止使用</w:t>
            </w:r>
          </w:p>
        </w:tc>
      </w:tr>
      <w:tr w14:paraId="294B7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70" w:hRule="atLeast"/>
          <w:jc w:val="center"/>
        </w:trPr>
        <w:tc>
          <w:tcPr>
            <w:tcW w:w="680" w:type="dxa"/>
            <w:vMerge w:val="continue"/>
            <w:shd w:val="clear" w:color="auto" w:fill="auto"/>
            <w:noWrap w:val="0"/>
            <w:vAlign w:val="center"/>
          </w:tcPr>
          <w:p w14:paraId="4015D7E1">
            <w:pPr>
              <w:pageBreakBefore w:val="0"/>
              <w:widowControl/>
              <w:kinsoku/>
              <w:wordWrap/>
              <w:overflowPunct/>
              <w:topLinePunct w:val="0"/>
              <w:bidi w:val="0"/>
              <w:spacing w:beforeAutospacing="0" w:afterAutospacing="0"/>
              <w:jc w:val="center"/>
              <w:rPr>
                <w:rFonts w:hint="eastAsia" w:ascii="方正仿宋简体" w:hAnsi="方正仿宋简体" w:eastAsia="方正仿宋简体" w:cs="方正仿宋简体"/>
                <w:color w:val="auto"/>
                <w:kern w:val="0"/>
                <w:sz w:val="21"/>
                <w:szCs w:val="21"/>
                <w:lang w:val="en-US" w:eastAsia="zh-CN" w:bidi="ar-SA"/>
              </w:rPr>
            </w:pPr>
          </w:p>
        </w:tc>
        <w:tc>
          <w:tcPr>
            <w:tcW w:w="1166" w:type="dxa"/>
            <w:vMerge w:val="continue"/>
            <w:shd w:val="clear" w:color="auto" w:fill="auto"/>
            <w:noWrap w:val="0"/>
            <w:vAlign w:val="center"/>
          </w:tcPr>
          <w:p w14:paraId="1B3C3C64">
            <w:pPr>
              <w:pageBreakBefore w:val="0"/>
              <w:widowControl/>
              <w:kinsoku/>
              <w:wordWrap/>
              <w:overflowPunct/>
              <w:topLinePunct w:val="0"/>
              <w:bidi w:val="0"/>
              <w:spacing w:beforeAutospacing="0" w:afterAutospacing="0"/>
              <w:jc w:val="center"/>
              <w:rPr>
                <w:rFonts w:hint="eastAsia" w:ascii="方正仿宋简体" w:hAnsi="方正仿宋简体" w:eastAsia="方正仿宋简体" w:cs="方正仿宋简体"/>
                <w:color w:val="auto"/>
                <w:kern w:val="0"/>
                <w:sz w:val="21"/>
                <w:szCs w:val="21"/>
                <w:lang w:val="en-US" w:eastAsia="zh-CN" w:bidi="ar-SA"/>
              </w:rPr>
            </w:pPr>
          </w:p>
        </w:tc>
        <w:tc>
          <w:tcPr>
            <w:tcW w:w="1329" w:type="dxa"/>
            <w:vMerge w:val="continue"/>
            <w:shd w:val="clear" w:color="auto" w:fill="auto"/>
            <w:noWrap w:val="0"/>
            <w:vAlign w:val="center"/>
          </w:tcPr>
          <w:p w14:paraId="084DA703">
            <w:pPr>
              <w:pageBreakBefore w:val="0"/>
              <w:widowControl/>
              <w:kinsoku/>
              <w:wordWrap/>
              <w:overflowPunct/>
              <w:topLinePunct w:val="0"/>
              <w:bidi w:val="0"/>
              <w:spacing w:beforeAutospacing="0" w:afterAutospacing="0"/>
              <w:jc w:val="both"/>
              <w:rPr>
                <w:rFonts w:hint="eastAsia" w:ascii="方正仿宋简体" w:hAnsi="方正仿宋简体" w:eastAsia="方正仿宋简体" w:cs="方正仿宋简体"/>
                <w:color w:val="auto"/>
                <w:kern w:val="0"/>
                <w:sz w:val="21"/>
                <w:szCs w:val="21"/>
                <w:lang w:val="en-US" w:eastAsia="zh-CN" w:bidi="ar-SA"/>
              </w:rPr>
            </w:pPr>
          </w:p>
        </w:tc>
        <w:tc>
          <w:tcPr>
            <w:tcW w:w="2063" w:type="dxa"/>
            <w:gridSpan w:val="2"/>
            <w:vMerge w:val="continue"/>
            <w:shd w:val="clear" w:color="auto" w:fill="auto"/>
            <w:noWrap w:val="0"/>
            <w:vAlign w:val="center"/>
          </w:tcPr>
          <w:p w14:paraId="47AA3580">
            <w:pPr>
              <w:pageBreakBefore w:val="0"/>
              <w:widowControl/>
              <w:kinsoku/>
              <w:wordWrap/>
              <w:overflowPunct/>
              <w:topLinePunct w:val="0"/>
              <w:bidi w:val="0"/>
              <w:spacing w:beforeAutospacing="0" w:afterAutospacing="0"/>
              <w:jc w:val="both"/>
              <w:rPr>
                <w:rFonts w:hint="eastAsia" w:ascii="方正仿宋简体" w:hAnsi="方正仿宋简体" w:eastAsia="方正仿宋简体" w:cs="方正仿宋简体"/>
                <w:color w:val="auto"/>
                <w:kern w:val="0"/>
                <w:sz w:val="21"/>
                <w:szCs w:val="21"/>
                <w:lang w:val="en-US" w:eastAsia="zh-CN" w:bidi="ar-SA"/>
              </w:rPr>
            </w:pPr>
          </w:p>
        </w:tc>
        <w:tc>
          <w:tcPr>
            <w:tcW w:w="1339" w:type="dxa"/>
            <w:vMerge w:val="continue"/>
            <w:shd w:val="clear" w:color="auto" w:fill="auto"/>
            <w:noWrap w:val="0"/>
            <w:vAlign w:val="center"/>
          </w:tcPr>
          <w:p w14:paraId="5D89C0E8">
            <w:pPr>
              <w:pageBreakBefore w:val="0"/>
              <w:widowControl/>
              <w:kinsoku/>
              <w:wordWrap/>
              <w:overflowPunct/>
              <w:topLinePunct w:val="0"/>
              <w:bidi w:val="0"/>
              <w:spacing w:beforeAutospacing="0" w:afterAutospacing="0"/>
              <w:jc w:val="both"/>
              <w:rPr>
                <w:rFonts w:hint="eastAsia" w:ascii="方正仿宋简体" w:hAnsi="方正仿宋简体" w:eastAsia="方正仿宋简体" w:cs="方正仿宋简体"/>
                <w:color w:val="auto"/>
                <w:kern w:val="0"/>
                <w:sz w:val="21"/>
                <w:szCs w:val="21"/>
                <w:lang w:val="en-US" w:eastAsia="zh-CN" w:bidi="ar-SA"/>
              </w:rPr>
            </w:pPr>
          </w:p>
        </w:tc>
        <w:tc>
          <w:tcPr>
            <w:tcW w:w="1191" w:type="dxa"/>
            <w:shd w:val="clear" w:color="auto" w:fill="auto"/>
            <w:noWrap w:val="0"/>
            <w:vAlign w:val="center"/>
          </w:tcPr>
          <w:p w14:paraId="39602D03">
            <w:pPr>
              <w:pageBreakBefore w:val="0"/>
              <w:widowControl/>
              <w:kinsoku/>
              <w:wordWrap/>
              <w:overflowPunct/>
              <w:topLinePunct w:val="0"/>
              <w:bidi w:val="0"/>
              <w:spacing w:beforeAutospacing="0" w:afterAutospacing="0"/>
              <w:jc w:val="center"/>
              <w:rPr>
                <w:rFonts w:hint="default" w:ascii="方正仿宋简体" w:hAnsi="方正仿宋简体" w:eastAsia="方正仿宋简体" w:cs="方正仿宋简体"/>
                <w:color w:val="auto"/>
                <w:kern w:val="0"/>
                <w:sz w:val="21"/>
                <w:szCs w:val="21"/>
                <w:lang w:val="en-US" w:eastAsia="zh-CN" w:bidi="ar-SA"/>
              </w:rPr>
            </w:pPr>
            <w:r>
              <w:rPr>
                <w:rFonts w:hint="eastAsia" w:ascii="方正仿宋简体" w:hAnsi="方正仿宋简体" w:eastAsia="方正仿宋_GBK" w:cs="方正仿宋简体"/>
                <w:color w:val="auto"/>
                <w:sz w:val="21"/>
                <w:szCs w:val="21"/>
                <w:lang w:val="en-US" w:eastAsia="zh-CN"/>
              </w:rPr>
              <w:t>较重</w:t>
            </w:r>
          </w:p>
        </w:tc>
        <w:tc>
          <w:tcPr>
            <w:tcW w:w="4252" w:type="dxa"/>
            <w:vMerge w:val="continue"/>
            <w:shd w:val="clear" w:color="auto" w:fill="auto"/>
            <w:noWrap w:val="0"/>
            <w:vAlign w:val="center"/>
          </w:tcPr>
          <w:p w14:paraId="35BABA5E">
            <w:pPr>
              <w:pageBreakBefore w:val="0"/>
              <w:widowControl/>
              <w:kinsoku/>
              <w:wordWrap/>
              <w:overflowPunct/>
              <w:topLinePunct w:val="0"/>
              <w:bidi w:val="0"/>
              <w:spacing w:beforeAutospacing="0" w:afterAutospacing="0"/>
              <w:jc w:val="both"/>
              <w:rPr>
                <w:rFonts w:hint="eastAsia" w:ascii="方正仿宋简体" w:hAnsi="方正仿宋简体" w:eastAsia="方正仿宋简体" w:cs="方正仿宋简体"/>
                <w:color w:val="auto"/>
                <w:kern w:val="0"/>
                <w:sz w:val="21"/>
                <w:szCs w:val="21"/>
                <w:lang w:val="en-US" w:eastAsia="zh-CN" w:bidi="ar-SA"/>
              </w:rPr>
            </w:pPr>
          </w:p>
        </w:tc>
        <w:tc>
          <w:tcPr>
            <w:tcW w:w="1701" w:type="dxa"/>
            <w:shd w:val="clear" w:color="auto" w:fill="auto"/>
            <w:noWrap w:val="0"/>
            <w:vAlign w:val="center"/>
          </w:tcPr>
          <w:p w14:paraId="1BBC1220">
            <w:pPr>
              <w:pageBreakBefore w:val="0"/>
              <w:widowControl/>
              <w:kinsoku/>
              <w:wordWrap/>
              <w:overflowPunct/>
              <w:topLinePunct w:val="0"/>
              <w:bidi w:val="0"/>
              <w:spacing w:beforeAutospacing="0" w:afterAutospacing="0"/>
              <w:jc w:val="both"/>
              <w:rPr>
                <w:rFonts w:hint="eastAsia" w:ascii="方正仿宋简体" w:hAnsi="方正仿宋简体" w:eastAsia="方正仿宋简体" w:cs="方正仿宋简体"/>
                <w:color w:val="auto"/>
                <w:kern w:val="0"/>
                <w:sz w:val="21"/>
                <w:szCs w:val="21"/>
                <w:lang w:val="en-US" w:eastAsia="zh-CN" w:bidi="ar-SA"/>
              </w:rPr>
            </w:pPr>
            <w:r>
              <w:rPr>
                <w:rFonts w:hint="eastAsia" w:ascii="方正仿宋简体" w:hAnsi="方正仿宋简体" w:eastAsia="方正仿宋_GBK" w:cs="方正仿宋简体"/>
                <w:color w:val="auto"/>
                <w:kern w:val="0"/>
                <w:sz w:val="21"/>
                <w:szCs w:val="21"/>
                <w:lang w:val="en-US" w:eastAsia="zh-CN" w:bidi="ar-SA"/>
              </w:rPr>
              <w:t>处十三万元以上十六万元以下罚款</w:t>
            </w:r>
          </w:p>
        </w:tc>
        <w:tc>
          <w:tcPr>
            <w:tcW w:w="1191" w:type="dxa"/>
            <w:vMerge w:val="continue"/>
            <w:shd w:val="clear" w:color="auto" w:fill="auto"/>
            <w:noWrap w:val="0"/>
            <w:vAlign w:val="center"/>
          </w:tcPr>
          <w:p w14:paraId="28CC9CC5">
            <w:pPr>
              <w:pageBreakBefore w:val="0"/>
              <w:widowControl/>
              <w:kinsoku/>
              <w:wordWrap/>
              <w:overflowPunct/>
              <w:topLinePunct w:val="0"/>
              <w:bidi w:val="0"/>
              <w:spacing w:beforeAutospacing="0" w:afterAutospacing="0"/>
              <w:jc w:val="both"/>
              <w:rPr>
                <w:rFonts w:hint="eastAsia" w:ascii="方正仿宋简体" w:hAnsi="方正仿宋简体" w:eastAsia="方正仿宋简体" w:cs="方正仿宋简体"/>
                <w:color w:val="auto"/>
                <w:spacing w:val="8"/>
                <w:sz w:val="21"/>
                <w:szCs w:val="21"/>
              </w:rPr>
            </w:pPr>
          </w:p>
        </w:tc>
      </w:tr>
      <w:tr w14:paraId="00FE4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64" w:hRule="atLeast"/>
          <w:jc w:val="center"/>
        </w:trPr>
        <w:tc>
          <w:tcPr>
            <w:tcW w:w="680" w:type="dxa"/>
            <w:vMerge w:val="continue"/>
            <w:shd w:val="clear" w:color="auto" w:fill="auto"/>
            <w:noWrap w:val="0"/>
            <w:vAlign w:val="center"/>
          </w:tcPr>
          <w:p w14:paraId="508A3062">
            <w:pPr>
              <w:pageBreakBefore w:val="0"/>
              <w:widowControl/>
              <w:kinsoku/>
              <w:wordWrap/>
              <w:overflowPunct/>
              <w:topLinePunct w:val="0"/>
              <w:bidi w:val="0"/>
              <w:spacing w:beforeAutospacing="0" w:afterAutospacing="0"/>
              <w:jc w:val="center"/>
              <w:rPr>
                <w:rFonts w:hint="eastAsia" w:ascii="方正仿宋简体" w:hAnsi="方正仿宋简体" w:eastAsia="方正仿宋简体" w:cs="方正仿宋简体"/>
                <w:color w:val="auto"/>
                <w:kern w:val="0"/>
                <w:sz w:val="21"/>
                <w:szCs w:val="21"/>
                <w:lang w:val="en-US" w:eastAsia="zh-CN" w:bidi="ar-SA"/>
              </w:rPr>
            </w:pPr>
          </w:p>
        </w:tc>
        <w:tc>
          <w:tcPr>
            <w:tcW w:w="1166" w:type="dxa"/>
            <w:vMerge w:val="continue"/>
            <w:shd w:val="clear" w:color="auto" w:fill="auto"/>
            <w:noWrap w:val="0"/>
            <w:vAlign w:val="center"/>
          </w:tcPr>
          <w:p w14:paraId="04D80AC4">
            <w:pPr>
              <w:pageBreakBefore w:val="0"/>
              <w:widowControl/>
              <w:kinsoku/>
              <w:wordWrap/>
              <w:overflowPunct/>
              <w:topLinePunct w:val="0"/>
              <w:bidi w:val="0"/>
              <w:spacing w:beforeAutospacing="0" w:afterAutospacing="0"/>
              <w:jc w:val="center"/>
              <w:rPr>
                <w:rFonts w:hint="eastAsia" w:ascii="方正仿宋简体" w:hAnsi="方正仿宋简体" w:eastAsia="方正仿宋简体" w:cs="方正仿宋简体"/>
                <w:color w:val="auto"/>
                <w:kern w:val="0"/>
                <w:sz w:val="21"/>
                <w:szCs w:val="21"/>
                <w:lang w:val="en-US" w:eastAsia="zh-CN" w:bidi="ar-SA"/>
              </w:rPr>
            </w:pPr>
          </w:p>
        </w:tc>
        <w:tc>
          <w:tcPr>
            <w:tcW w:w="1329" w:type="dxa"/>
            <w:vMerge w:val="continue"/>
            <w:shd w:val="clear" w:color="auto" w:fill="auto"/>
            <w:noWrap w:val="0"/>
            <w:vAlign w:val="center"/>
          </w:tcPr>
          <w:p w14:paraId="5DB6E862">
            <w:pPr>
              <w:pageBreakBefore w:val="0"/>
              <w:widowControl/>
              <w:kinsoku/>
              <w:wordWrap/>
              <w:overflowPunct/>
              <w:topLinePunct w:val="0"/>
              <w:bidi w:val="0"/>
              <w:spacing w:beforeAutospacing="0" w:afterAutospacing="0"/>
              <w:jc w:val="both"/>
              <w:rPr>
                <w:rFonts w:hint="eastAsia" w:ascii="方正仿宋简体" w:hAnsi="方正仿宋简体" w:eastAsia="方正仿宋简体" w:cs="方正仿宋简体"/>
                <w:color w:val="auto"/>
                <w:kern w:val="0"/>
                <w:sz w:val="21"/>
                <w:szCs w:val="21"/>
                <w:lang w:val="en-US" w:eastAsia="zh-CN" w:bidi="ar-SA"/>
              </w:rPr>
            </w:pPr>
          </w:p>
        </w:tc>
        <w:tc>
          <w:tcPr>
            <w:tcW w:w="2063" w:type="dxa"/>
            <w:gridSpan w:val="2"/>
            <w:vMerge w:val="continue"/>
            <w:shd w:val="clear" w:color="auto" w:fill="auto"/>
            <w:noWrap w:val="0"/>
            <w:vAlign w:val="center"/>
          </w:tcPr>
          <w:p w14:paraId="66EE75F5">
            <w:pPr>
              <w:pageBreakBefore w:val="0"/>
              <w:widowControl/>
              <w:kinsoku/>
              <w:wordWrap/>
              <w:overflowPunct/>
              <w:topLinePunct w:val="0"/>
              <w:bidi w:val="0"/>
              <w:spacing w:beforeAutospacing="0" w:afterAutospacing="0"/>
              <w:jc w:val="both"/>
              <w:rPr>
                <w:rFonts w:hint="eastAsia" w:ascii="方正仿宋简体" w:hAnsi="方正仿宋简体" w:eastAsia="方正仿宋简体" w:cs="方正仿宋简体"/>
                <w:color w:val="auto"/>
                <w:kern w:val="0"/>
                <w:sz w:val="21"/>
                <w:szCs w:val="21"/>
                <w:lang w:val="en-US" w:eastAsia="zh-CN" w:bidi="ar-SA"/>
              </w:rPr>
            </w:pPr>
          </w:p>
        </w:tc>
        <w:tc>
          <w:tcPr>
            <w:tcW w:w="1339" w:type="dxa"/>
            <w:vMerge w:val="continue"/>
            <w:shd w:val="clear" w:color="auto" w:fill="auto"/>
            <w:noWrap w:val="0"/>
            <w:vAlign w:val="center"/>
          </w:tcPr>
          <w:p w14:paraId="25A50A35">
            <w:pPr>
              <w:pageBreakBefore w:val="0"/>
              <w:widowControl/>
              <w:kinsoku/>
              <w:wordWrap/>
              <w:overflowPunct/>
              <w:topLinePunct w:val="0"/>
              <w:bidi w:val="0"/>
              <w:spacing w:beforeAutospacing="0" w:afterAutospacing="0"/>
              <w:jc w:val="both"/>
              <w:rPr>
                <w:rFonts w:hint="eastAsia" w:ascii="方正仿宋简体" w:hAnsi="方正仿宋简体" w:eastAsia="方正仿宋简体" w:cs="方正仿宋简体"/>
                <w:color w:val="auto"/>
                <w:kern w:val="0"/>
                <w:sz w:val="21"/>
                <w:szCs w:val="21"/>
                <w:lang w:val="en-US" w:eastAsia="zh-CN" w:bidi="ar-SA"/>
              </w:rPr>
            </w:pPr>
          </w:p>
        </w:tc>
        <w:tc>
          <w:tcPr>
            <w:tcW w:w="1191" w:type="dxa"/>
            <w:shd w:val="clear" w:color="auto" w:fill="auto"/>
            <w:noWrap w:val="0"/>
            <w:vAlign w:val="center"/>
          </w:tcPr>
          <w:p w14:paraId="6A287BD4">
            <w:pPr>
              <w:pageBreakBefore w:val="0"/>
              <w:widowControl/>
              <w:kinsoku/>
              <w:wordWrap/>
              <w:overflowPunct/>
              <w:topLinePunct w:val="0"/>
              <w:bidi w:val="0"/>
              <w:spacing w:beforeAutospacing="0" w:afterAutospacing="0"/>
              <w:jc w:val="center"/>
              <w:rPr>
                <w:rFonts w:hint="default" w:ascii="方正仿宋简体" w:hAnsi="方正仿宋简体" w:eastAsia="方正仿宋简体" w:cs="方正仿宋简体"/>
                <w:color w:val="auto"/>
                <w:kern w:val="0"/>
                <w:sz w:val="21"/>
                <w:szCs w:val="21"/>
                <w:lang w:val="en-US" w:eastAsia="zh-CN" w:bidi="ar-SA"/>
              </w:rPr>
            </w:pPr>
            <w:r>
              <w:rPr>
                <w:rFonts w:hint="eastAsia" w:ascii="方正仿宋简体" w:hAnsi="方正仿宋简体" w:eastAsia="方正仿宋简体" w:cs="方正仿宋简体"/>
                <w:color w:val="auto"/>
                <w:kern w:val="0"/>
                <w:sz w:val="21"/>
                <w:szCs w:val="21"/>
                <w:lang w:val="en-US" w:eastAsia="zh-CN" w:bidi="ar-SA"/>
              </w:rPr>
              <w:t>严重</w:t>
            </w:r>
          </w:p>
        </w:tc>
        <w:tc>
          <w:tcPr>
            <w:tcW w:w="4252" w:type="dxa"/>
            <w:vMerge w:val="continue"/>
            <w:shd w:val="clear" w:color="auto" w:fill="auto"/>
            <w:noWrap w:val="0"/>
            <w:vAlign w:val="center"/>
          </w:tcPr>
          <w:p w14:paraId="1C013F32">
            <w:pPr>
              <w:pageBreakBefore w:val="0"/>
              <w:widowControl/>
              <w:kinsoku/>
              <w:wordWrap/>
              <w:overflowPunct/>
              <w:topLinePunct w:val="0"/>
              <w:bidi w:val="0"/>
              <w:spacing w:beforeAutospacing="0" w:afterAutospacing="0"/>
              <w:jc w:val="both"/>
              <w:rPr>
                <w:rFonts w:hint="eastAsia" w:ascii="方正仿宋简体" w:hAnsi="方正仿宋简体" w:eastAsia="方正仿宋简体" w:cs="方正仿宋简体"/>
                <w:color w:val="auto"/>
                <w:kern w:val="0"/>
                <w:sz w:val="21"/>
                <w:szCs w:val="21"/>
                <w:lang w:val="en-US" w:eastAsia="zh-CN" w:bidi="ar-SA"/>
              </w:rPr>
            </w:pPr>
          </w:p>
        </w:tc>
        <w:tc>
          <w:tcPr>
            <w:tcW w:w="1701" w:type="dxa"/>
            <w:shd w:val="clear" w:color="auto" w:fill="auto"/>
            <w:noWrap w:val="0"/>
            <w:vAlign w:val="center"/>
          </w:tcPr>
          <w:p w14:paraId="66196681">
            <w:pPr>
              <w:pageBreakBefore w:val="0"/>
              <w:widowControl/>
              <w:kinsoku/>
              <w:wordWrap/>
              <w:overflowPunct/>
              <w:topLinePunct w:val="0"/>
              <w:bidi w:val="0"/>
              <w:spacing w:beforeAutospacing="0" w:afterAutospacing="0"/>
              <w:jc w:val="both"/>
              <w:rPr>
                <w:rFonts w:hint="eastAsia" w:ascii="方正仿宋简体" w:hAnsi="方正仿宋简体" w:eastAsia="方正仿宋简体" w:cs="方正仿宋简体"/>
                <w:color w:val="auto"/>
                <w:kern w:val="0"/>
                <w:sz w:val="21"/>
                <w:szCs w:val="21"/>
                <w:lang w:val="en-US" w:eastAsia="zh-CN" w:bidi="ar-SA"/>
              </w:rPr>
            </w:pPr>
            <w:r>
              <w:rPr>
                <w:rFonts w:hint="eastAsia" w:ascii="方正仿宋简体" w:hAnsi="方正仿宋简体" w:eastAsia="方正仿宋_GBK" w:cs="方正仿宋简体"/>
                <w:color w:val="auto"/>
                <w:kern w:val="0"/>
                <w:sz w:val="21"/>
                <w:szCs w:val="21"/>
                <w:lang w:val="en-US" w:eastAsia="zh-CN" w:bidi="ar-SA"/>
              </w:rPr>
              <w:t>处十六万元以上二十万元以下罚款</w:t>
            </w:r>
          </w:p>
        </w:tc>
        <w:tc>
          <w:tcPr>
            <w:tcW w:w="1191" w:type="dxa"/>
            <w:vMerge w:val="continue"/>
            <w:shd w:val="clear" w:color="auto" w:fill="auto"/>
            <w:noWrap w:val="0"/>
            <w:vAlign w:val="center"/>
          </w:tcPr>
          <w:p w14:paraId="54D2DBD6">
            <w:pPr>
              <w:pageBreakBefore w:val="0"/>
              <w:widowControl/>
              <w:kinsoku/>
              <w:wordWrap/>
              <w:overflowPunct/>
              <w:topLinePunct w:val="0"/>
              <w:bidi w:val="0"/>
              <w:spacing w:beforeAutospacing="0" w:afterAutospacing="0"/>
              <w:jc w:val="both"/>
              <w:rPr>
                <w:rFonts w:hint="eastAsia" w:ascii="方正仿宋简体" w:hAnsi="方正仿宋简体" w:eastAsia="方正仿宋简体" w:cs="方正仿宋简体"/>
                <w:color w:val="auto"/>
                <w:spacing w:val="8"/>
                <w:sz w:val="21"/>
                <w:szCs w:val="21"/>
              </w:rPr>
            </w:pPr>
          </w:p>
        </w:tc>
      </w:tr>
      <w:tr w14:paraId="5DE08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9" w:hRule="atLeast"/>
          <w:jc w:val="center"/>
        </w:trPr>
        <w:tc>
          <w:tcPr>
            <w:tcW w:w="680" w:type="dxa"/>
            <w:vMerge w:val="restart"/>
            <w:shd w:val="clear" w:color="auto" w:fill="auto"/>
            <w:noWrap w:val="0"/>
            <w:vAlign w:val="center"/>
          </w:tcPr>
          <w:p w14:paraId="3162AD8A">
            <w:pPr>
              <w:pageBreakBefore w:val="0"/>
              <w:widowControl/>
              <w:kinsoku/>
              <w:wordWrap/>
              <w:overflowPunct/>
              <w:topLinePunct w:val="0"/>
              <w:bidi w:val="0"/>
              <w:spacing w:beforeAutospacing="0" w:afterAutospacing="0"/>
              <w:jc w:val="center"/>
              <w:rPr>
                <w:rFonts w:hint="default" w:ascii="方正仿宋简体" w:hAnsi="方正仿宋简体" w:eastAsia="方正仿宋简体" w:cs="方正仿宋简体"/>
                <w:color w:val="auto"/>
                <w:kern w:val="0"/>
                <w:sz w:val="21"/>
                <w:szCs w:val="21"/>
                <w:lang w:val="en-US" w:eastAsia="zh-CN" w:bidi="ar-SA"/>
              </w:rPr>
            </w:pPr>
            <w:r>
              <w:rPr>
                <w:rFonts w:hint="eastAsia" w:ascii="方正仿宋简体" w:hAnsi="方正仿宋简体" w:eastAsia="方正仿宋简体" w:cs="方正仿宋简体"/>
                <w:color w:val="auto"/>
                <w:kern w:val="0"/>
                <w:sz w:val="21"/>
                <w:szCs w:val="21"/>
                <w:lang w:val="en-US" w:eastAsia="zh-CN" w:bidi="ar-SA"/>
              </w:rPr>
              <w:t>1</w:t>
            </w:r>
          </w:p>
        </w:tc>
        <w:tc>
          <w:tcPr>
            <w:tcW w:w="1166" w:type="dxa"/>
            <w:vMerge w:val="restart"/>
            <w:shd w:val="clear" w:color="auto" w:fill="auto"/>
            <w:noWrap w:val="0"/>
            <w:vAlign w:val="center"/>
          </w:tcPr>
          <w:p w14:paraId="270D6CC2">
            <w:pPr>
              <w:pageBreakBefore w:val="0"/>
              <w:widowControl/>
              <w:kinsoku/>
              <w:wordWrap/>
              <w:overflowPunct/>
              <w:topLinePunct w:val="0"/>
              <w:bidi w:val="0"/>
              <w:spacing w:beforeAutospacing="0" w:afterAutospacing="0"/>
              <w:jc w:val="center"/>
              <w:rPr>
                <w:rFonts w:hint="eastAsia" w:ascii="方正仿宋简体" w:hAnsi="方正仿宋简体" w:eastAsia="方正仿宋简体" w:cs="方正仿宋简体"/>
                <w:color w:val="auto"/>
                <w:kern w:val="0"/>
                <w:sz w:val="21"/>
                <w:szCs w:val="21"/>
                <w:lang w:val="en-US" w:eastAsia="zh-CN" w:bidi="ar-SA"/>
              </w:rPr>
            </w:pPr>
          </w:p>
        </w:tc>
        <w:tc>
          <w:tcPr>
            <w:tcW w:w="1329" w:type="dxa"/>
            <w:vMerge w:val="restart"/>
            <w:shd w:val="clear" w:color="auto" w:fill="auto"/>
            <w:noWrap w:val="0"/>
            <w:vAlign w:val="center"/>
          </w:tcPr>
          <w:p w14:paraId="59CA11AE">
            <w:pPr>
              <w:pageBreakBefore w:val="0"/>
              <w:widowControl/>
              <w:kinsoku/>
              <w:wordWrap/>
              <w:overflowPunct/>
              <w:topLinePunct w:val="0"/>
              <w:bidi w:val="0"/>
              <w:spacing w:beforeAutospacing="0" w:afterAutospacing="0"/>
              <w:jc w:val="both"/>
              <w:rPr>
                <w:rFonts w:hint="eastAsia" w:ascii="方正仿宋简体" w:hAnsi="方正仿宋简体" w:eastAsia="方正仿宋简体" w:cs="方正仿宋简体"/>
                <w:color w:val="auto"/>
                <w:kern w:val="0"/>
                <w:sz w:val="21"/>
                <w:szCs w:val="21"/>
                <w:lang w:val="en-US" w:eastAsia="zh-CN" w:bidi="ar-SA"/>
              </w:rPr>
            </w:pPr>
            <w:r>
              <w:rPr>
                <w:rFonts w:hint="eastAsia" w:ascii="方正仿宋简体" w:hAnsi="方正仿宋简体" w:eastAsia="方正仿宋_GBK" w:cs="方正仿宋简体"/>
                <w:color w:val="auto"/>
                <w:kern w:val="0"/>
                <w:sz w:val="21"/>
                <w:szCs w:val="21"/>
                <w:lang w:val="en-US" w:eastAsia="zh-CN" w:bidi="ar-SA"/>
              </w:rPr>
              <w:t>依法应当进行消防设计审查的建设工程，未经依法审查或者审查不合格，擅自施工的；依法应当进行消防验收的建设工程，未经消防验收或者消防验收不合格，擅自投入使用的</w:t>
            </w:r>
          </w:p>
        </w:tc>
        <w:tc>
          <w:tcPr>
            <w:tcW w:w="2063" w:type="dxa"/>
            <w:gridSpan w:val="2"/>
            <w:vMerge w:val="restart"/>
            <w:shd w:val="clear" w:color="auto" w:fill="auto"/>
            <w:noWrap w:val="0"/>
            <w:vAlign w:val="center"/>
          </w:tcPr>
          <w:p w14:paraId="358544B9">
            <w:pPr>
              <w:pageBreakBefore w:val="0"/>
              <w:widowControl/>
              <w:kinsoku/>
              <w:wordWrap/>
              <w:overflowPunct/>
              <w:topLinePunct w:val="0"/>
              <w:bidi w:val="0"/>
              <w:spacing w:beforeAutospacing="0" w:afterAutospacing="0"/>
              <w:jc w:val="both"/>
              <w:rPr>
                <w:rFonts w:hint="eastAsia" w:ascii="方正仿宋简体" w:hAnsi="方正仿宋简体" w:eastAsia="方正仿宋_GBK" w:cs="方正仿宋简体"/>
                <w:color w:val="auto"/>
                <w:kern w:val="0"/>
                <w:sz w:val="21"/>
                <w:szCs w:val="21"/>
                <w:highlight w:val="none"/>
                <w:lang w:val="en-US" w:eastAsia="zh-CN" w:bidi="ar-SA"/>
              </w:rPr>
            </w:pPr>
            <w:r>
              <w:rPr>
                <w:rFonts w:hint="eastAsia" w:ascii="方正仿宋简体" w:hAnsi="方正仿宋简体" w:eastAsia="方正仿宋_GBK" w:cs="方正仿宋简体"/>
                <w:color w:val="auto"/>
                <w:kern w:val="0"/>
                <w:sz w:val="21"/>
                <w:szCs w:val="21"/>
                <w:highlight w:val="none"/>
                <w:lang w:val="en-US" w:eastAsia="zh-CN" w:bidi="ar-SA"/>
              </w:rPr>
              <w:t>《中华人民共和国消防法》第十一条 国务院住房和城乡建设主管部门规定的特殊建设工程，建设单位应当将消防设计文件报送住房和城乡建设主管部门审查，住房和城乡建设主管部门依法对审查的结果负责。</w:t>
            </w:r>
          </w:p>
          <w:p w14:paraId="3B7DDBDB">
            <w:pPr>
              <w:pageBreakBefore w:val="0"/>
              <w:widowControl/>
              <w:kinsoku/>
              <w:wordWrap/>
              <w:overflowPunct/>
              <w:topLinePunct w:val="0"/>
              <w:bidi w:val="0"/>
              <w:spacing w:beforeAutospacing="0" w:afterAutospacing="0"/>
              <w:jc w:val="both"/>
              <w:rPr>
                <w:rFonts w:hint="eastAsia" w:ascii="方正仿宋简体" w:hAnsi="方正仿宋简体" w:eastAsia="方正仿宋_GBK" w:cs="方正仿宋简体"/>
                <w:color w:val="auto"/>
                <w:kern w:val="0"/>
                <w:sz w:val="21"/>
                <w:szCs w:val="21"/>
                <w:highlight w:val="none"/>
                <w:lang w:val="en-US" w:eastAsia="zh-CN" w:bidi="ar-SA"/>
              </w:rPr>
            </w:pPr>
            <w:r>
              <w:rPr>
                <w:rFonts w:hint="eastAsia" w:ascii="方正仿宋简体" w:hAnsi="方正仿宋简体" w:eastAsia="方正仿宋_GBK" w:cs="方正仿宋简体"/>
                <w:color w:val="auto"/>
                <w:kern w:val="0"/>
                <w:sz w:val="21"/>
                <w:szCs w:val="21"/>
                <w:highlight w:val="none"/>
                <w:lang w:val="en-US" w:eastAsia="zh-CN" w:bidi="ar-SA"/>
              </w:rPr>
              <w:t>前款规定以外的其他建设工程，建设单位申请领取施工许可证或者申请批准开工报告时应当提供满足施工需要的消防设计图纸及技术资料。</w:t>
            </w:r>
          </w:p>
          <w:p w14:paraId="75A94BED">
            <w:pPr>
              <w:pageBreakBefore w:val="0"/>
              <w:widowControl/>
              <w:kinsoku/>
              <w:wordWrap/>
              <w:overflowPunct/>
              <w:topLinePunct w:val="0"/>
              <w:bidi w:val="0"/>
              <w:spacing w:beforeAutospacing="0" w:afterAutospacing="0"/>
              <w:jc w:val="both"/>
              <w:rPr>
                <w:rFonts w:hint="eastAsia" w:ascii="方正仿宋简体" w:hAnsi="方正仿宋简体" w:eastAsia="方正仿宋简体" w:cs="方正仿宋简体"/>
                <w:color w:val="auto"/>
                <w:kern w:val="0"/>
                <w:sz w:val="21"/>
                <w:szCs w:val="21"/>
                <w:lang w:val="en-US" w:eastAsia="zh-CN" w:bidi="ar-SA"/>
              </w:rPr>
            </w:pPr>
            <w:r>
              <w:rPr>
                <w:rFonts w:hint="eastAsia" w:ascii="方正仿宋简体" w:hAnsi="方正仿宋简体" w:eastAsia="方正仿宋_GBK" w:cs="方正仿宋简体"/>
                <w:color w:val="auto"/>
                <w:kern w:val="0"/>
                <w:sz w:val="21"/>
                <w:szCs w:val="21"/>
                <w:highlight w:val="none"/>
                <w:lang w:val="en-US" w:eastAsia="zh-CN" w:bidi="ar-SA"/>
              </w:rPr>
              <w:t>第十二条 特殊建设工程未经消防设计审查或者审查不合格的，建设单位、施工单位不得施工；其他建设工程，建设单位未提供满足施工需要的消防设计图纸及技术资料的，有关部门不得发放施工许可证或者批准开工报告。</w:t>
            </w:r>
          </w:p>
        </w:tc>
        <w:tc>
          <w:tcPr>
            <w:tcW w:w="1339" w:type="dxa"/>
            <w:vMerge w:val="restart"/>
            <w:shd w:val="clear" w:color="auto" w:fill="auto"/>
            <w:noWrap w:val="0"/>
            <w:vAlign w:val="center"/>
          </w:tcPr>
          <w:p w14:paraId="6F5B0E34">
            <w:pPr>
              <w:pageBreakBefore w:val="0"/>
              <w:widowControl/>
              <w:kinsoku/>
              <w:wordWrap/>
              <w:overflowPunct/>
              <w:topLinePunct w:val="0"/>
              <w:bidi w:val="0"/>
              <w:spacing w:beforeAutospacing="0" w:afterAutospacing="0"/>
              <w:jc w:val="both"/>
              <w:rPr>
                <w:rFonts w:hint="eastAsia" w:ascii="方正仿宋简体" w:hAnsi="方正仿宋简体" w:eastAsia="方正仿宋简体" w:cs="方正仿宋简体"/>
                <w:color w:val="auto"/>
                <w:kern w:val="0"/>
                <w:sz w:val="21"/>
                <w:szCs w:val="21"/>
                <w:lang w:val="en-US" w:eastAsia="zh-CN" w:bidi="ar-SA"/>
              </w:rPr>
            </w:pPr>
            <w:r>
              <w:rPr>
                <w:rFonts w:hint="eastAsia" w:ascii="方正仿宋简体" w:hAnsi="方正仿宋简体" w:eastAsia="方正仿宋_GBK" w:cs="方正仿宋简体"/>
                <w:color w:val="auto"/>
                <w:kern w:val="0"/>
                <w:sz w:val="21"/>
                <w:szCs w:val="21"/>
                <w:highlight w:val="none"/>
                <w:lang w:val="en-US" w:eastAsia="zh-CN" w:bidi="ar-SA"/>
              </w:rPr>
              <w:t>《中华人民共和国消防法》第五十八条</w:t>
            </w:r>
            <w:r>
              <w:rPr>
                <w:rFonts w:hint="eastAsia" w:ascii="方正仿宋简体" w:hAnsi="方正仿宋简体" w:eastAsia="方正仿宋_GBK" w:cs="方正仿宋简体"/>
                <w:color w:val="auto"/>
                <w:kern w:val="0"/>
                <w:sz w:val="21"/>
                <w:szCs w:val="21"/>
                <w:lang w:val="en-US" w:eastAsia="zh-CN" w:bidi="ar-SA"/>
              </w:rPr>
              <w:t>第一款第一、二项</w:t>
            </w:r>
            <w:r>
              <w:rPr>
                <w:rFonts w:hint="eastAsia" w:ascii="方正仿宋简体" w:hAnsi="方正仿宋简体" w:eastAsia="方正仿宋_GBK" w:cs="方正仿宋简体"/>
                <w:color w:val="auto"/>
                <w:kern w:val="0"/>
                <w:sz w:val="21"/>
                <w:szCs w:val="21"/>
                <w:highlight w:val="none"/>
                <w:lang w:val="en-US" w:eastAsia="zh-CN" w:bidi="ar-SA"/>
              </w:rPr>
              <w:t xml:space="preserve"> </w:t>
            </w:r>
            <w:r>
              <w:rPr>
                <w:rFonts w:hint="eastAsia" w:ascii="方正仿宋简体" w:hAnsi="方正仿宋简体" w:eastAsia="方正仿宋_GBK" w:cs="方正仿宋简体"/>
                <w:color w:val="auto"/>
                <w:kern w:val="0"/>
                <w:sz w:val="21"/>
                <w:szCs w:val="21"/>
                <w:lang w:val="en-US" w:eastAsia="zh-CN" w:bidi="ar-SA"/>
              </w:rPr>
              <w:t>“依法应当进行消防设计审查的建设工程，未经依法审查或者审查不合格，擅自施工的；依法应当进行消防验收的建设工程，未经消防验收或者消防验收不合格，擅自投入使用的”由住房和城乡建设主管部门，责令其停止施工或者停止使用，并处十万元以上二十万元以下罚款</w:t>
            </w:r>
          </w:p>
        </w:tc>
        <w:tc>
          <w:tcPr>
            <w:tcW w:w="1191" w:type="dxa"/>
            <w:shd w:val="clear" w:color="auto" w:fill="auto"/>
            <w:noWrap w:val="0"/>
            <w:vAlign w:val="center"/>
          </w:tcPr>
          <w:p w14:paraId="510166D7">
            <w:pPr>
              <w:pageBreakBefore w:val="0"/>
              <w:widowControl/>
              <w:kinsoku/>
              <w:wordWrap/>
              <w:overflowPunct/>
              <w:topLinePunct w:val="0"/>
              <w:bidi w:val="0"/>
              <w:spacing w:beforeAutospacing="0" w:afterAutospacing="0"/>
              <w:jc w:val="center"/>
              <w:rPr>
                <w:rFonts w:hint="default" w:ascii="方正仿宋简体" w:hAnsi="方正仿宋简体" w:eastAsia="方正仿宋_GBK" w:cs="方正仿宋简体"/>
                <w:color w:val="auto"/>
                <w:sz w:val="21"/>
                <w:szCs w:val="21"/>
                <w:lang w:val="en-US" w:eastAsia="zh-CN"/>
              </w:rPr>
            </w:pPr>
            <w:r>
              <w:rPr>
                <w:rFonts w:hint="eastAsia" w:ascii="方正仿宋简体" w:hAnsi="方正仿宋简体" w:eastAsia="方正仿宋_GBK" w:cs="方正仿宋简体"/>
                <w:color w:val="auto"/>
                <w:sz w:val="21"/>
                <w:szCs w:val="21"/>
                <w:lang w:val="en-US" w:eastAsia="zh-CN"/>
              </w:rPr>
              <w:t>较轻</w:t>
            </w:r>
          </w:p>
        </w:tc>
        <w:tc>
          <w:tcPr>
            <w:tcW w:w="4252" w:type="dxa"/>
            <w:vMerge w:val="restart"/>
            <w:shd w:val="clear" w:color="auto" w:fill="auto"/>
            <w:noWrap w:val="0"/>
            <w:vAlign w:val="center"/>
          </w:tcPr>
          <w:p w14:paraId="59308C2C">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firstLine="420" w:firstLineChars="200"/>
              <w:jc w:val="both"/>
              <w:textAlignment w:val="auto"/>
              <w:rPr>
                <w:rFonts w:hint="eastAsia" w:ascii="方正仿宋简体" w:hAnsi="方正仿宋简体" w:eastAsia="方正仿宋_GBK" w:cs="方正仿宋简体"/>
                <w:color w:val="auto"/>
                <w:kern w:val="0"/>
                <w:sz w:val="21"/>
                <w:szCs w:val="21"/>
                <w:lang w:val="en-US" w:eastAsia="zh-CN" w:bidi="ar-SA"/>
              </w:rPr>
            </w:pPr>
            <w:r>
              <w:rPr>
                <w:rFonts w:hint="eastAsia" w:ascii="方正仿宋简体" w:hAnsi="方正仿宋简体" w:eastAsia="方正仿宋_GBK" w:cs="方正仿宋简体"/>
                <w:color w:val="auto"/>
                <w:kern w:val="0"/>
                <w:sz w:val="21"/>
                <w:szCs w:val="21"/>
                <w:lang w:val="en-US" w:eastAsia="zh-CN" w:bidi="ar-SA"/>
              </w:rPr>
              <w:t>（一）建筑总面积二万平方米以上的体育场馆、会堂，公共展览馆、博物馆的展示厅；</w:t>
            </w:r>
          </w:p>
          <w:p w14:paraId="0A554D53">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firstLine="420" w:firstLineChars="200"/>
              <w:jc w:val="both"/>
              <w:textAlignment w:val="auto"/>
              <w:rPr>
                <w:rFonts w:hint="eastAsia" w:ascii="方正仿宋简体" w:hAnsi="方正仿宋简体" w:eastAsia="方正仿宋_GBK" w:cs="方正仿宋简体"/>
                <w:color w:val="auto"/>
                <w:kern w:val="0"/>
                <w:sz w:val="21"/>
                <w:szCs w:val="21"/>
                <w:lang w:val="en-US" w:eastAsia="zh-CN" w:bidi="ar-SA"/>
              </w:rPr>
            </w:pPr>
            <w:r>
              <w:rPr>
                <w:rFonts w:hint="eastAsia" w:ascii="方正仿宋简体" w:hAnsi="方正仿宋简体" w:eastAsia="方正仿宋_GBK" w:cs="方正仿宋简体"/>
                <w:color w:val="auto"/>
                <w:kern w:val="0"/>
                <w:sz w:val="21"/>
                <w:szCs w:val="21"/>
                <w:lang w:val="en-US" w:eastAsia="zh-CN" w:bidi="ar-SA"/>
              </w:rPr>
              <w:t xml:space="preserve">（二）建筑总面积一万五千平方米以上的民用机场航站楼、客运车站候车室、客运码头候船厅； </w:t>
            </w:r>
          </w:p>
          <w:p w14:paraId="15658C12">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firstLine="420" w:firstLineChars="200"/>
              <w:jc w:val="both"/>
              <w:textAlignment w:val="auto"/>
              <w:rPr>
                <w:rFonts w:hint="eastAsia" w:ascii="方正仿宋简体" w:hAnsi="方正仿宋简体" w:eastAsia="方正仿宋_GBK" w:cs="方正仿宋简体"/>
                <w:color w:val="auto"/>
                <w:kern w:val="0"/>
                <w:sz w:val="21"/>
                <w:szCs w:val="21"/>
                <w:lang w:val="en-US" w:eastAsia="zh-CN" w:bidi="ar-SA"/>
              </w:rPr>
            </w:pPr>
            <w:r>
              <w:rPr>
                <w:rFonts w:hint="eastAsia" w:ascii="方正仿宋简体" w:hAnsi="方正仿宋简体" w:eastAsia="方正仿宋_GBK" w:cs="方正仿宋简体"/>
                <w:color w:val="auto"/>
                <w:kern w:val="0"/>
                <w:sz w:val="21"/>
                <w:szCs w:val="21"/>
                <w:lang w:val="en-US" w:eastAsia="zh-CN" w:bidi="ar-SA"/>
              </w:rPr>
              <w:t>（三）建筑总面积五万平方米以上的宾馆、饭店、商场、市场；</w:t>
            </w:r>
          </w:p>
          <w:p w14:paraId="0888C156">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firstLine="420" w:firstLineChars="200"/>
              <w:jc w:val="both"/>
              <w:textAlignment w:val="auto"/>
              <w:rPr>
                <w:rFonts w:hint="eastAsia" w:ascii="方正仿宋简体" w:hAnsi="方正仿宋简体" w:eastAsia="方正仿宋_GBK" w:cs="方正仿宋简体"/>
                <w:color w:val="auto"/>
                <w:kern w:val="0"/>
                <w:sz w:val="21"/>
                <w:szCs w:val="21"/>
                <w:lang w:val="en-US" w:eastAsia="zh-CN" w:bidi="ar-SA"/>
              </w:rPr>
            </w:pPr>
            <w:r>
              <w:rPr>
                <w:rFonts w:hint="eastAsia" w:ascii="方正仿宋简体" w:hAnsi="方正仿宋简体" w:eastAsia="方正仿宋_GBK" w:cs="方正仿宋简体"/>
                <w:color w:val="auto"/>
                <w:kern w:val="0"/>
                <w:sz w:val="21"/>
                <w:szCs w:val="21"/>
                <w:lang w:val="en-US" w:eastAsia="zh-CN" w:bidi="ar-SA"/>
              </w:rPr>
              <w:t>（四）建筑总面积一万平方米以上的影剧院，公共图书馆的阅览室，营业性室内健身、休闲场馆，医院的门诊楼，大学的教学楼、图书馆、食堂，劳动密集型企业的生产加工车间，寺庙、教堂；</w:t>
            </w:r>
          </w:p>
          <w:p w14:paraId="7E2763ED">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firstLine="420" w:firstLineChars="200"/>
              <w:jc w:val="both"/>
              <w:textAlignment w:val="auto"/>
              <w:rPr>
                <w:rFonts w:hint="eastAsia" w:ascii="方正仿宋简体" w:hAnsi="方正仿宋简体" w:eastAsia="方正仿宋_GBK" w:cs="方正仿宋简体"/>
                <w:color w:val="auto"/>
                <w:kern w:val="0"/>
                <w:sz w:val="21"/>
                <w:szCs w:val="21"/>
                <w:lang w:val="en-US" w:eastAsia="zh-CN" w:bidi="ar-SA"/>
              </w:rPr>
            </w:pPr>
            <w:r>
              <w:rPr>
                <w:rFonts w:hint="eastAsia" w:ascii="方正仿宋简体" w:hAnsi="方正仿宋简体" w:eastAsia="方正仿宋_GBK" w:cs="方正仿宋简体"/>
                <w:color w:val="auto"/>
                <w:kern w:val="0"/>
                <w:sz w:val="21"/>
                <w:szCs w:val="21"/>
                <w:lang w:val="en-US" w:eastAsia="zh-CN" w:bidi="ar-SA"/>
              </w:rPr>
              <w:t>（五）建筑总面积五千平方米以上的歌舞厅、录像厅、放映厅、卡拉OK厅、夜总会、游艺厅、桑拿浴室、网吧、酒吧，具有娱乐功能的餐馆、茶馆、咖啡厅；</w:t>
            </w:r>
          </w:p>
          <w:p w14:paraId="78617156">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firstLine="420" w:firstLineChars="200"/>
              <w:jc w:val="both"/>
              <w:textAlignment w:val="auto"/>
              <w:rPr>
                <w:rFonts w:hint="eastAsia" w:ascii="方正仿宋简体" w:hAnsi="方正仿宋简体" w:eastAsia="方正仿宋_GBK" w:cs="方正仿宋简体"/>
                <w:color w:val="auto"/>
                <w:kern w:val="0"/>
                <w:sz w:val="21"/>
                <w:szCs w:val="21"/>
                <w:lang w:val="en-US" w:eastAsia="zh-CN" w:bidi="ar-SA"/>
              </w:rPr>
            </w:pPr>
            <w:r>
              <w:rPr>
                <w:rFonts w:hint="eastAsia" w:ascii="方正仿宋简体" w:hAnsi="方正仿宋简体" w:eastAsia="方正仿宋_GBK" w:cs="方正仿宋简体"/>
                <w:color w:val="auto"/>
                <w:kern w:val="0"/>
                <w:sz w:val="21"/>
                <w:szCs w:val="21"/>
                <w:lang w:val="en-US" w:eastAsia="zh-CN" w:bidi="ar-SA"/>
              </w:rPr>
              <w:t>（六）建筑总面积三万平方米以上的国家机关办公楼、电力调度楼、电信楼、邮政楼、防灾指挥调度楼、广播电视楼、档案楼；</w:t>
            </w:r>
          </w:p>
          <w:p w14:paraId="5E37FCAC">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firstLine="420" w:firstLineChars="200"/>
              <w:jc w:val="both"/>
              <w:textAlignment w:val="auto"/>
              <w:rPr>
                <w:rFonts w:hint="eastAsia" w:ascii="方正仿宋简体" w:hAnsi="方正仿宋简体" w:eastAsia="方正仿宋_GBK" w:cs="方正仿宋简体"/>
                <w:color w:val="auto"/>
                <w:kern w:val="0"/>
                <w:sz w:val="21"/>
                <w:szCs w:val="21"/>
                <w:lang w:val="en-US" w:eastAsia="zh-CN" w:bidi="ar-SA"/>
              </w:rPr>
            </w:pPr>
            <w:r>
              <w:rPr>
                <w:rFonts w:hint="eastAsia" w:ascii="方正仿宋简体" w:hAnsi="方正仿宋简体" w:eastAsia="方正仿宋_GBK" w:cs="方正仿宋简体"/>
                <w:color w:val="auto"/>
                <w:kern w:val="0"/>
                <w:sz w:val="21"/>
                <w:szCs w:val="21"/>
                <w:lang w:val="en-US" w:eastAsia="zh-CN" w:bidi="ar-SA"/>
              </w:rPr>
              <w:t>（七）单体建筑面积十万平方米以上或者建筑高度一百米以上的公共建筑；</w:t>
            </w:r>
          </w:p>
          <w:p w14:paraId="39CA7300">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firstLine="420" w:firstLineChars="200"/>
              <w:jc w:val="both"/>
              <w:textAlignment w:val="auto"/>
              <w:rPr>
                <w:rFonts w:hint="eastAsia" w:ascii="方正仿宋简体" w:hAnsi="方正仿宋简体" w:eastAsia="方正仿宋_GBK" w:cs="方正仿宋简体"/>
                <w:color w:val="auto"/>
                <w:kern w:val="0"/>
                <w:sz w:val="21"/>
                <w:szCs w:val="21"/>
                <w:lang w:val="en-US" w:eastAsia="zh-CN" w:bidi="ar-SA"/>
              </w:rPr>
            </w:pPr>
            <w:r>
              <w:rPr>
                <w:rFonts w:hint="eastAsia" w:ascii="方正仿宋简体" w:hAnsi="方正仿宋简体" w:eastAsia="方正仿宋_GBK" w:cs="方正仿宋简体"/>
                <w:color w:val="auto"/>
                <w:kern w:val="0"/>
                <w:sz w:val="21"/>
                <w:szCs w:val="21"/>
                <w:lang w:val="en-US" w:eastAsia="zh-CN" w:bidi="ar-SA"/>
              </w:rPr>
              <w:t>（八）城市轨道交通、隧道工程，大型发电、变配电工程；</w:t>
            </w:r>
          </w:p>
          <w:p w14:paraId="3D324B9C">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firstLine="420" w:firstLineChars="200"/>
              <w:jc w:val="both"/>
              <w:textAlignment w:val="auto"/>
              <w:rPr>
                <w:rFonts w:hint="eastAsia" w:ascii="方正仿宋简体" w:hAnsi="方正仿宋简体" w:eastAsia="方正仿宋_GBK" w:cs="方正仿宋简体"/>
                <w:color w:val="auto"/>
                <w:kern w:val="0"/>
                <w:sz w:val="21"/>
                <w:szCs w:val="21"/>
                <w:lang w:val="en-US" w:eastAsia="zh-CN" w:bidi="ar-SA"/>
              </w:rPr>
            </w:pPr>
            <w:r>
              <w:rPr>
                <w:rFonts w:hint="eastAsia" w:ascii="方正仿宋简体" w:hAnsi="方正仿宋简体" w:eastAsia="方正仿宋_GBK" w:cs="方正仿宋简体"/>
                <w:color w:val="auto"/>
                <w:kern w:val="0"/>
                <w:sz w:val="21"/>
                <w:szCs w:val="21"/>
                <w:lang w:val="en-US" w:eastAsia="zh-CN" w:bidi="ar-SA"/>
              </w:rPr>
              <w:t>（九）生产、储存易燃易爆危险物品，液体、气体总储量三千立方米以上，固体总储量十千千克以上的工厂、仓库。</w:t>
            </w:r>
          </w:p>
          <w:p w14:paraId="7757140E">
            <w:pPr>
              <w:pageBreakBefore w:val="0"/>
              <w:widowControl/>
              <w:kinsoku/>
              <w:wordWrap/>
              <w:overflowPunct/>
              <w:topLinePunct w:val="0"/>
              <w:bidi w:val="0"/>
              <w:spacing w:beforeAutospacing="0" w:afterAutospacing="0"/>
              <w:jc w:val="both"/>
              <w:rPr>
                <w:rFonts w:hint="eastAsia" w:ascii="方正仿宋简体" w:hAnsi="方正仿宋简体" w:eastAsia="方正仿宋简体" w:cs="方正仿宋简体"/>
                <w:color w:val="auto"/>
                <w:kern w:val="0"/>
                <w:sz w:val="21"/>
                <w:szCs w:val="21"/>
                <w:lang w:val="en-US" w:eastAsia="zh-CN" w:bidi="ar-SA"/>
              </w:rPr>
            </w:pPr>
          </w:p>
        </w:tc>
        <w:tc>
          <w:tcPr>
            <w:tcW w:w="1701" w:type="dxa"/>
            <w:shd w:val="clear" w:color="auto" w:fill="auto"/>
            <w:noWrap w:val="0"/>
            <w:vAlign w:val="center"/>
          </w:tcPr>
          <w:p w14:paraId="1595DA02">
            <w:pPr>
              <w:pageBreakBefore w:val="0"/>
              <w:widowControl/>
              <w:kinsoku/>
              <w:wordWrap/>
              <w:overflowPunct/>
              <w:topLinePunct w:val="0"/>
              <w:bidi w:val="0"/>
              <w:spacing w:beforeAutospacing="0" w:afterAutospacing="0"/>
              <w:jc w:val="both"/>
              <w:rPr>
                <w:rFonts w:hint="eastAsia" w:ascii="方正仿宋简体" w:hAnsi="方正仿宋简体" w:eastAsia="方正仿宋简体" w:cs="方正仿宋简体"/>
                <w:color w:val="auto"/>
                <w:kern w:val="0"/>
                <w:sz w:val="21"/>
                <w:szCs w:val="21"/>
                <w:lang w:val="en-US" w:eastAsia="zh-CN" w:bidi="ar-SA"/>
              </w:rPr>
            </w:pPr>
            <w:r>
              <w:rPr>
                <w:rFonts w:hint="eastAsia" w:ascii="方正仿宋简体" w:hAnsi="方正仿宋简体" w:eastAsia="方正仿宋_GBK" w:cs="方正仿宋简体"/>
                <w:color w:val="auto"/>
                <w:kern w:val="0"/>
                <w:sz w:val="21"/>
                <w:szCs w:val="21"/>
                <w:lang w:val="en-US" w:eastAsia="zh-CN" w:bidi="ar-SA"/>
              </w:rPr>
              <w:t>处二十万元以上二十三万元以下罚款</w:t>
            </w:r>
          </w:p>
        </w:tc>
        <w:tc>
          <w:tcPr>
            <w:tcW w:w="1191" w:type="dxa"/>
            <w:vMerge w:val="restart"/>
            <w:shd w:val="clear" w:color="auto" w:fill="auto"/>
            <w:noWrap w:val="0"/>
            <w:vAlign w:val="center"/>
          </w:tcPr>
          <w:p w14:paraId="0F73EF06">
            <w:pPr>
              <w:pageBreakBefore w:val="0"/>
              <w:widowControl/>
              <w:kinsoku/>
              <w:wordWrap/>
              <w:overflowPunct/>
              <w:topLinePunct w:val="0"/>
              <w:bidi w:val="0"/>
              <w:spacing w:beforeAutospacing="0" w:afterAutospacing="0"/>
              <w:jc w:val="both"/>
              <w:rPr>
                <w:rFonts w:hint="eastAsia" w:ascii="方正仿宋简体" w:hAnsi="方正仿宋简体" w:eastAsia="方正仿宋简体" w:cs="方正仿宋简体"/>
                <w:color w:val="auto"/>
                <w:spacing w:val="8"/>
                <w:sz w:val="21"/>
                <w:szCs w:val="21"/>
              </w:rPr>
            </w:pPr>
            <w:r>
              <w:rPr>
                <w:rFonts w:hint="eastAsia" w:ascii="方正仿宋简体" w:hAnsi="方正仿宋简体" w:eastAsia="方正仿宋_GBK" w:cs="方正仿宋简体"/>
                <w:color w:val="auto"/>
                <w:kern w:val="0"/>
                <w:sz w:val="21"/>
                <w:szCs w:val="21"/>
                <w:lang w:val="en-US" w:eastAsia="zh-CN" w:bidi="ar-SA"/>
              </w:rPr>
              <w:t>住房和城乡建设主管部门，责令其停止施工或者停止使用</w:t>
            </w:r>
          </w:p>
        </w:tc>
      </w:tr>
      <w:tr w14:paraId="2BB3C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55" w:hRule="atLeast"/>
          <w:jc w:val="center"/>
        </w:trPr>
        <w:tc>
          <w:tcPr>
            <w:tcW w:w="680" w:type="dxa"/>
            <w:vMerge w:val="continue"/>
            <w:shd w:val="clear" w:color="auto" w:fill="auto"/>
            <w:noWrap w:val="0"/>
            <w:vAlign w:val="center"/>
          </w:tcPr>
          <w:p w14:paraId="37564877">
            <w:pPr>
              <w:pageBreakBefore w:val="0"/>
              <w:widowControl/>
              <w:kinsoku/>
              <w:wordWrap/>
              <w:overflowPunct/>
              <w:topLinePunct w:val="0"/>
              <w:bidi w:val="0"/>
              <w:spacing w:beforeAutospacing="0" w:afterAutospacing="0"/>
              <w:jc w:val="center"/>
              <w:rPr>
                <w:rFonts w:hint="eastAsia" w:ascii="方正仿宋简体" w:hAnsi="方正仿宋简体" w:eastAsia="方正仿宋简体" w:cs="方正仿宋简体"/>
                <w:color w:val="auto"/>
                <w:kern w:val="0"/>
                <w:sz w:val="21"/>
                <w:szCs w:val="21"/>
                <w:lang w:val="en-US" w:eastAsia="zh-CN" w:bidi="ar-SA"/>
              </w:rPr>
            </w:pPr>
          </w:p>
        </w:tc>
        <w:tc>
          <w:tcPr>
            <w:tcW w:w="1166" w:type="dxa"/>
            <w:vMerge w:val="continue"/>
            <w:shd w:val="clear" w:color="auto" w:fill="auto"/>
            <w:noWrap w:val="0"/>
            <w:vAlign w:val="center"/>
          </w:tcPr>
          <w:p w14:paraId="2BF107D8">
            <w:pPr>
              <w:pageBreakBefore w:val="0"/>
              <w:widowControl/>
              <w:kinsoku/>
              <w:wordWrap/>
              <w:overflowPunct/>
              <w:topLinePunct w:val="0"/>
              <w:bidi w:val="0"/>
              <w:spacing w:beforeAutospacing="0" w:afterAutospacing="0"/>
              <w:jc w:val="center"/>
              <w:rPr>
                <w:rFonts w:hint="eastAsia" w:ascii="方正仿宋简体" w:hAnsi="方正仿宋简体" w:eastAsia="方正仿宋简体" w:cs="方正仿宋简体"/>
                <w:color w:val="auto"/>
                <w:kern w:val="0"/>
                <w:sz w:val="21"/>
                <w:szCs w:val="21"/>
                <w:lang w:val="en-US" w:eastAsia="zh-CN" w:bidi="ar-SA"/>
              </w:rPr>
            </w:pPr>
          </w:p>
        </w:tc>
        <w:tc>
          <w:tcPr>
            <w:tcW w:w="1329" w:type="dxa"/>
            <w:vMerge w:val="continue"/>
            <w:shd w:val="clear" w:color="auto" w:fill="auto"/>
            <w:noWrap w:val="0"/>
            <w:vAlign w:val="center"/>
          </w:tcPr>
          <w:p w14:paraId="0A59EFB0">
            <w:pPr>
              <w:pageBreakBefore w:val="0"/>
              <w:widowControl/>
              <w:kinsoku/>
              <w:wordWrap/>
              <w:overflowPunct/>
              <w:topLinePunct w:val="0"/>
              <w:bidi w:val="0"/>
              <w:spacing w:beforeAutospacing="0" w:afterAutospacing="0"/>
              <w:jc w:val="both"/>
              <w:rPr>
                <w:rFonts w:hint="eastAsia" w:ascii="方正仿宋简体" w:hAnsi="方正仿宋简体" w:eastAsia="方正仿宋简体" w:cs="方正仿宋简体"/>
                <w:color w:val="auto"/>
                <w:kern w:val="0"/>
                <w:sz w:val="21"/>
                <w:szCs w:val="21"/>
                <w:lang w:val="en-US" w:eastAsia="zh-CN" w:bidi="ar-SA"/>
              </w:rPr>
            </w:pPr>
          </w:p>
        </w:tc>
        <w:tc>
          <w:tcPr>
            <w:tcW w:w="2063" w:type="dxa"/>
            <w:gridSpan w:val="2"/>
            <w:vMerge w:val="continue"/>
            <w:shd w:val="clear" w:color="auto" w:fill="auto"/>
            <w:noWrap w:val="0"/>
            <w:vAlign w:val="center"/>
          </w:tcPr>
          <w:p w14:paraId="7A1F0B07">
            <w:pPr>
              <w:pageBreakBefore w:val="0"/>
              <w:widowControl/>
              <w:kinsoku/>
              <w:wordWrap/>
              <w:overflowPunct/>
              <w:topLinePunct w:val="0"/>
              <w:bidi w:val="0"/>
              <w:spacing w:beforeAutospacing="0" w:afterAutospacing="0"/>
              <w:jc w:val="both"/>
              <w:rPr>
                <w:rFonts w:hint="eastAsia" w:ascii="方正仿宋简体" w:hAnsi="方正仿宋简体" w:eastAsia="方正仿宋简体" w:cs="方正仿宋简体"/>
                <w:color w:val="auto"/>
                <w:kern w:val="0"/>
                <w:sz w:val="21"/>
                <w:szCs w:val="21"/>
                <w:lang w:val="en-US" w:eastAsia="zh-CN" w:bidi="ar-SA"/>
              </w:rPr>
            </w:pPr>
          </w:p>
        </w:tc>
        <w:tc>
          <w:tcPr>
            <w:tcW w:w="1339" w:type="dxa"/>
            <w:vMerge w:val="continue"/>
            <w:shd w:val="clear" w:color="auto" w:fill="auto"/>
            <w:noWrap w:val="0"/>
            <w:vAlign w:val="center"/>
          </w:tcPr>
          <w:p w14:paraId="5F6814BF">
            <w:pPr>
              <w:pageBreakBefore w:val="0"/>
              <w:widowControl/>
              <w:kinsoku/>
              <w:wordWrap/>
              <w:overflowPunct/>
              <w:topLinePunct w:val="0"/>
              <w:bidi w:val="0"/>
              <w:spacing w:beforeAutospacing="0" w:afterAutospacing="0"/>
              <w:jc w:val="both"/>
              <w:rPr>
                <w:rFonts w:hint="eastAsia" w:ascii="方正仿宋简体" w:hAnsi="方正仿宋简体" w:eastAsia="方正仿宋简体" w:cs="方正仿宋简体"/>
                <w:color w:val="auto"/>
                <w:kern w:val="0"/>
                <w:sz w:val="21"/>
                <w:szCs w:val="21"/>
                <w:lang w:val="en-US" w:eastAsia="zh-CN" w:bidi="ar-SA"/>
              </w:rPr>
            </w:pPr>
          </w:p>
        </w:tc>
        <w:tc>
          <w:tcPr>
            <w:tcW w:w="1191" w:type="dxa"/>
            <w:shd w:val="clear" w:color="auto" w:fill="auto"/>
            <w:noWrap w:val="0"/>
            <w:vAlign w:val="center"/>
          </w:tcPr>
          <w:p w14:paraId="113DFC7F">
            <w:pPr>
              <w:pageBreakBefore w:val="0"/>
              <w:widowControl/>
              <w:kinsoku/>
              <w:wordWrap/>
              <w:overflowPunct/>
              <w:topLinePunct w:val="0"/>
              <w:bidi w:val="0"/>
              <w:spacing w:beforeAutospacing="0" w:afterAutospacing="0"/>
              <w:jc w:val="center"/>
              <w:rPr>
                <w:rFonts w:hint="default" w:ascii="方正仿宋简体" w:hAnsi="方正仿宋简体" w:eastAsia="方正仿宋简体" w:cs="方正仿宋简体"/>
                <w:color w:val="auto"/>
                <w:kern w:val="0"/>
                <w:sz w:val="21"/>
                <w:szCs w:val="21"/>
                <w:lang w:val="en-US" w:eastAsia="zh-CN" w:bidi="ar-SA"/>
              </w:rPr>
            </w:pPr>
            <w:r>
              <w:rPr>
                <w:rFonts w:hint="eastAsia" w:ascii="方正仿宋简体" w:hAnsi="方正仿宋简体" w:eastAsia="方正仿宋_GBK" w:cs="方正仿宋简体"/>
                <w:color w:val="auto"/>
                <w:sz w:val="21"/>
                <w:szCs w:val="21"/>
                <w:lang w:val="en-US" w:eastAsia="zh-CN"/>
              </w:rPr>
              <w:t>较重</w:t>
            </w:r>
          </w:p>
        </w:tc>
        <w:tc>
          <w:tcPr>
            <w:tcW w:w="4252" w:type="dxa"/>
            <w:vMerge w:val="continue"/>
            <w:shd w:val="clear" w:color="auto" w:fill="auto"/>
            <w:noWrap w:val="0"/>
            <w:vAlign w:val="center"/>
          </w:tcPr>
          <w:p w14:paraId="3568085D">
            <w:pPr>
              <w:pageBreakBefore w:val="0"/>
              <w:widowControl/>
              <w:kinsoku/>
              <w:wordWrap/>
              <w:overflowPunct/>
              <w:topLinePunct w:val="0"/>
              <w:bidi w:val="0"/>
              <w:spacing w:beforeAutospacing="0" w:afterAutospacing="0"/>
              <w:jc w:val="both"/>
              <w:rPr>
                <w:rFonts w:hint="eastAsia" w:ascii="方正仿宋简体" w:hAnsi="方正仿宋简体" w:eastAsia="方正仿宋简体" w:cs="方正仿宋简体"/>
                <w:color w:val="auto"/>
                <w:kern w:val="0"/>
                <w:sz w:val="21"/>
                <w:szCs w:val="21"/>
                <w:lang w:val="en-US" w:eastAsia="zh-CN" w:bidi="ar-SA"/>
              </w:rPr>
            </w:pPr>
          </w:p>
        </w:tc>
        <w:tc>
          <w:tcPr>
            <w:tcW w:w="1701" w:type="dxa"/>
            <w:shd w:val="clear" w:color="auto" w:fill="auto"/>
            <w:noWrap w:val="0"/>
            <w:vAlign w:val="center"/>
          </w:tcPr>
          <w:p w14:paraId="23AFA5DE">
            <w:pPr>
              <w:pageBreakBefore w:val="0"/>
              <w:widowControl/>
              <w:kinsoku/>
              <w:wordWrap/>
              <w:overflowPunct/>
              <w:topLinePunct w:val="0"/>
              <w:bidi w:val="0"/>
              <w:spacing w:beforeAutospacing="0" w:afterAutospacing="0"/>
              <w:jc w:val="both"/>
              <w:rPr>
                <w:rFonts w:hint="eastAsia" w:ascii="方正仿宋简体" w:hAnsi="方正仿宋简体" w:eastAsia="方正仿宋简体" w:cs="方正仿宋简体"/>
                <w:color w:val="auto"/>
                <w:kern w:val="0"/>
                <w:sz w:val="21"/>
                <w:szCs w:val="21"/>
                <w:lang w:val="en-US" w:eastAsia="zh-CN" w:bidi="ar-SA"/>
              </w:rPr>
            </w:pPr>
            <w:r>
              <w:rPr>
                <w:rFonts w:hint="eastAsia" w:ascii="方正仿宋简体" w:hAnsi="方正仿宋简体" w:eastAsia="方正仿宋_GBK" w:cs="方正仿宋简体"/>
                <w:color w:val="auto"/>
                <w:kern w:val="0"/>
                <w:sz w:val="21"/>
                <w:szCs w:val="21"/>
                <w:lang w:val="en-US" w:eastAsia="zh-CN" w:bidi="ar-SA"/>
              </w:rPr>
              <w:t>处二十三万元以上二十六万元以下罚款</w:t>
            </w:r>
          </w:p>
        </w:tc>
        <w:tc>
          <w:tcPr>
            <w:tcW w:w="1191" w:type="dxa"/>
            <w:vMerge w:val="continue"/>
            <w:shd w:val="clear" w:color="auto" w:fill="auto"/>
            <w:noWrap w:val="0"/>
            <w:vAlign w:val="center"/>
          </w:tcPr>
          <w:p w14:paraId="65595BAD">
            <w:pPr>
              <w:pageBreakBefore w:val="0"/>
              <w:widowControl/>
              <w:kinsoku/>
              <w:wordWrap/>
              <w:overflowPunct/>
              <w:topLinePunct w:val="0"/>
              <w:bidi w:val="0"/>
              <w:spacing w:beforeAutospacing="0" w:afterAutospacing="0"/>
              <w:jc w:val="both"/>
              <w:rPr>
                <w:rFonts w:hint="eastAsia" w:ascii="方正仿宋简体" w:hAnsi="方正仿宋简体" w:eastAsia="方正仿宋简体" w:cs="方正仿宋简体"/>
                <w:color w:val="auto"/>
                <w:spacing w:val="8"/>
                <w:sz w:val="21"/>
                <w:szCs w:val="21"/>
              </w:rPr>
            </w:pPr>
          </w:p>
        </w:tc>
      </w:tr>
      <w:tr w14:paraId="39D92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3" w:hRule="atLeast"/>
          <w:jc w:val="center"/>
        </w:trPr>
        <w:tc>
          <w:tcPr>
            <w:tcW w:w="680" w:type="dxa"/>
            <w:vMerge w:val="continue"/>
            <w:shd w:val="clear" w:color="auto" w:fill="auto"/>
            <w:noWrap w:val="0"/>
            <w:vAlign w:val="center"/>
          </w:tcPr>
          <w:p w14:paraId="22E19AE7">
            <w:pPr>
              <w:pageBreakBefore w:val="0"/>
              <w:widowControl/>
              <w:kinsoku/>
              <w:wordWrap/>
              <w:overflowPunct/>
              <w:topLinePunct w:val="0"/>
              <w:bidi w:val="0"/>
              <w:spacing w:beforeAutospacing="0" w:afterAutospacing="0"/>
              <w:jc w:val="center"/>
              <w:rPr>
                <w:rFonts w:hint="eastAsia" w:ascii="方正仿宋简体" w:hAnsi="方正仿宋简体" w:eastAsia="方正仿宋简体" w:cs="方正仿宋简体"/>
                <w:color w:val="auto"/>
                <w:kern w:val="0"/>
                <w:sz w:val="21"/>
                <w:szCs w:val="21"/>
                <w:lang w:val="en-US" w:eastAsia="zh-CN" w:bidi="ar-SA"/>
              </w:rPr>
            </w:pPr>
          </w:p>
        </w:tc>
        <w:tc>
          <w:tcPr>
            <w:tcW w:w="1166" w:type="dxa"/>
            <w:vMerge w:val="continue"/>
            <w:shd w:val="clear" w:color="auto" w:fill="auto"/>
            <w:noWrap w:val="0"/>
            <w:vAlign w:val="center"/>
          </w:tcPr>
          <w:p w14:paraId="4425765C">
            <w:pPr>
              <w:pageBreakBefore w:val="0"/>
              <w:widowControl/>
              <w:kinsoku/>
              <w:wordWrap/>
              <w:overflowPunct/>
              <w:topLinePunct w:val="0"/>
              <w:bidi w:val="0"/>
              <w:spacing w:beforeAutospacing="0" w:afterAutospacing="0"/>
              <w:jc w:val="center"/>
              <w:rPr>
                <w:rFonts w:hint="eastAsia" w:ascii="方正仿宋简体" w:hAnsi="方正仿宋简体" w:eastAsia="方正仿宋简体" w:cs="方正仿宋简体"/>
                <w:color w:val="auto"/>
                <w:kern w:val="0"/>
                <w:sz w:val="21"/>
                <w:szCs w:val="21"/>
                <w:lang w:val="en-US" w:eastAsia="zh-CN" w:bidi="ar-SA"/>
              </w:rPr>
            </w:pPr>
          </w:p>
        </w:tc>
        <w:tc>
          <w:tcPr>
            <w:tcW w:w="1329" w:type="dxa"/>
            <w:vMerge w:val="continue"/>
            <w:shd w:val="clear" w:color="auto" w:fill="auto"/>
            <w:noWrap w:val="0"/>
            <w:vAlign w:val="center"/>
          </w:tcPr>
          <w:p w14:paraId="09B6BAC5">
            <w:pPr>
              <w:pageBreakBefore w:val="0"/>
              <w:widowControl/>
              <w:kinsoku/>
              <w:wordWrap/>
              <w:overflowPunct/>
              <w:topLinePunct w:val="0"/>
              <w:bidi w:val="0"/>
              <w:spacing w:beforeAutospacing="0" w:afterAutospacing="0"/>
              <w:jc w:val="both"/>
              <w:rPr>
                <w:rFonts w:hint="eastAsia" w:ascii="方正仿宋简体" w:hAnsi="方正仿宋简体" w:eastAsia="方正仿宋简体" w:cs="方正仿宋简体"/>
                <w:color w:val="auto"/>
                <w:kern w:val="0"/>
                <w:sz w:val="21"/>
                <w:szCs w:val="21"/>
                <w:lang w:val="en-US" w:eastAsia="zh-CN" w:bidi="ar-SA"/>
              </w:rPr>
            </w:pPr>
          </w:p>
        </w:tc>
        <w:tc>
          <w:tcPr>
            <w:tcW w:w="2063" w:type="dxa"/>
            <w:gridSpan w:val="2"/>
            <w:vMerge w:val="continue"/>
            <w:shd w:val="clear" w:color="auto" w:fill="auto"/>
            <w:noWrap w:val="0"/>
            <w:vAlign w:val="center"/>
          </w:tcPr>
          <w:p w14:paraId="00F25BBB">
            <w:pPr>
              <w:pageBreakBefore w:val="0"/>
              <w:widowControl/>
              <w:kinsoku/>
              <w:wordWrap/>
              <w:overflowPunct/>
              <w:topLinePunct w:val="0"/>
              <w:bidi w:val="0"/>
              <w:spacing w:beforeAutospacing="0" w:afterAutospacing="0"/>
              <w:jc w:val="both"/>
              <w:rPr>
                <w:rFonts w:hint="eastAsia" w:ascii="方正仿宋简体" w:hAnsi="方正仿宋简体" w:eastAsia="方正仿宋简体" w:cs="方正仿宋简体"/>
                <w:color w:val="auto"/>
                <w:kern w:val="0"/>
                <w:sz w:val="21"/>
                <w:szCs w:val="21"/>
                <w:lang w:val="en-US" w:eastAsia="zh-CN" w:bidi="ar-SA"/>
              </w:rPr>
            </w:pPr>
          </w:p>
        </w:tc>
        <w:tc>
          <w:tcPr>
            <w:tcW w:w="1339" w:type="dxa"/>
            <w:vMerge w:val="continue"/>
            <w:shd w:val="clear" w:color="auto" w:fill="auto"/>
            <w:noWrap w:val="0"/>
            <w:vAlign w:val="center"/>
          </w:tcPr>
          <w:p w14:paraId="51557EA0">
            <w:pPr>
              <w:pageBreakBefore w:val="0"/>
              <w:widowControl/>
              <w:kinsoku/>
              <w:wordWrap/>
              <w:overflowPunct/>
              <w:topLinePunct w:val="0"/>
              <w:bidi w:val="0"/>
              <w:spacing w:beforeAutospacing="0" w:afterAutospacing="0"/>
              <w:jc w:val="both"/>
              <w:rPr>
                <w:rFonts w:hint="eastAsia" w:ascii="方正仿宋简体" w:hAnsi="方正仿宋简体" w:eastAsia="方正仿宋简体" w:cs="方正仿宋简体"/>
                <w:color w:val="auto"/>
                <w:kern w:val="0"/>
                <w:sz w:val="21"/>
                <w:szCs w:val="21"/>
                <w:lang w:val="en-US" w:eastAsia="zh-CN" w:bidi="ar-SA"/>
              </w:rPr>
            </w:pPr>
          </w:p>
        </w:tc>
        <w:tc>
          <w:tcPr>
            <w:tcW w:w="1191" w:type="dxa"/>
            <w:shd w:val="clear" w:color="auto" w:fill="auto"/>
            <w:noWrap w:val="0"/>
            <w:vAlign w:val="center"/>
          </w:tcPr>
          <w:p w14:paraId="7538EF47">
            <w:pPr>
              <w:pageBreakBefore w:val="0"/>
              <w:widowControl/>
              <w:kinsoku/>
              <w:wordWrap/>
              <w:overflowPunct/>
              <w:topLinePunct w:val="0"/>
              <w:bidi w:val="0"/>
              <w:spacing w:beforeAutospacing="0" w:afterAutospacing="0"/>
              <w:jc w:val="center"/>
              <w:rPr>
                <w:rFonts w:hint="default" w:ascii="方正仿宋简体" w:hAnsi="方正仿宋简体" w:eastAsia="方正仿宋简体" w:cs="方正仿宋简体"/>
                <w:color w:val="auto"/>
                <w:kern w:val="0"/>
                <w:sz w:val="21"/>
                <w:szCs w:val="21"/>
                <w:lang w:val="en-US" w:eastAsia="zh-CN" w:bidi="ar-SA"/>
              </w:rPr>
            </w:pPr>
            <w:r>
              <w:rPr>
                <w:rFonts w:hint="eastAsia" w:ascii="方正仿宋简体" w:hAnsi="方正仿宋简体" w:eastAsia="方正仿宋简体" w:cs="方正仿宋简体"/>
                <w:color w:val="auto"/>
                <w:kern w:val="0"/>
                <w:sz w:val="21"/>
                <w:szCs w:val="21"/>
                <w:lang w:val="en-US" w:eastAsia="zh-CN" w:bidi="ar-SA"/>
              </w:rPr>
              <w:t>严重</w:t>
            </w:r>
          </w:p>
        </w:tc>
        <w:tc>
          <w:tcPr>
            <w:tcW w:w="4252" w:type="dxa"/>
            <w:vMerge w:val="continue"/>
            <w:shd w:val="clear" w:color="auto" w:fill="auto"/>
            <w:noWrap w:val="0"/>
            <w:vAlign w:val="center"/>
          </w:tcPr>
          <w:p w14:paraId="0E1AA107">
            <w:pPr>
              <w:pageBreakBefore w:val="0"/>
              <w:widowControl/>
              <w:kinsoku/>
              <w:wordWrap/>
              <w:overflowPunct/>
              <w:topLinePunct w:val="0"/>
              <w:bidi w:val="0"/>
              <w:spacing w:beforeAutospacing="0" w:afterAutospacing="0"/>
              <w:jc w:val="both"/>
              <w:rPr>
                <w:rFonts w:hint="eastAsia" w:ascii="方正仿宋简体" w:hAnsi="方正仿宋简体" w:eastAsia="方正仿宋简体" w:cs="方正仿宋简体"/>
                <w:color w:val="auto"/>
                <w:kern w:val="0"/>
                <w:sz w:val="21"/>
                <w:szCs w:val="21"/>
                <w:lang w:val="en-US" w:eastAsia="zh-CN" w:bidi="ar-SA"/>
              </w:rPr>
            </w:pPr>
          </w:p>
        </w:tc>
        <w:tc>
          <w:tcPr>
            <w:tcW w:w="1701" w:type="dxa"/>
            <w:shd w:val="clear" w:color="auto" w:fill="auto"/>
            <w:noWrap w:val="0"/>
            <w:vAlign w:val="center"/>
          </w:tcPr>
          <w:p w14:paraId="358C54AA">
            <w:pPr>
              <w:pageBreakBefore w:val="0"/>
              <w:widowControl/>
              <w:kinsoku/>
              <w:wordWrap/>
              <w:overflowPunct/>
              <w:topLinePunct w:val="0"/>
              <w:bidi w:val="0"/>
              <w:spacing w:beforeAutospacing="0" w:afterAutospacing="0"/>
              <w:jc w:val="both"/>
              <w:rPr>
                <w:rFonts w:hint="eastAsia" w:ascii="方正仿宋简体" w:hAnsi="方正仿宋简体" w:eastAsia="方正仿宋简体" w:cs="方正仿宋简体"/>
                <w:color w:val="auto"/>
                <w:kern w:val="0"/>
                <w:sz w:val="21"/>
                <w:szCs w:val="21"/>
                <w:lang w:val="en-US" w:eastAsia="zh-CN" w:bidi="ar-SA"/>
              </w:rPr>
            </w:pPr>
            <w:r>
              <w:rPr>
                <w:rFonts w:hint="eastAsia" w:ascii="方正仿宋简体" w:hAnsi="方正仿宋简体" w:eastAsia="方正仿宋_GBK" w:cs="方正仿宋简体"/>
                <w:color w:val="auto"/>
                <w:kern w:val="0"/>
                <w:sz w:val="21"/>
                <w:szCs w:val="21"/>
                <w:lang w:val="en-US" w:eastAsia="zh-CN" w:bidi="ar-SA"/>
              </w:rPr>
              <w:t>处二十六万元以上三十万元以下罚款</w:t>
            </w:r>
          </w:p>
        </w:tc>
        <w:tc>
          <w:tcPr>
            <w:tcW w:w="1191" w:type="dxa"/>
            <w:vMerge w:val="continue"/>
            <w:shd w:val="clear" w:color="auto" w:fill="auto"/>
            <w:noWrap w:val="0"/>
            <w:vAlign w:val="center"/>
          </w:tcPr>
          <w:p w14:paraId="2A82D6F0">
            <w:pPr>
              <w:pageBreakBefore w:val="0"/>
              <w:widowControl/>
              <w:kinsoku/>
              <w:wordWrap/>
              <w:overflowPunct/>
              <w:topLinePunct w:val="0"/>
              <w:bidi w:val="0"/>
              <w:spacing w:beforeAutospacing="0" w:afterAutospacing="0"/>
              <w:jc w:val="both"/>
              <w:rPr>
                <w:rFonts w:hint="eastAsia" w:ascii="方正仿宋简体" w:hAnsi="方正仿宋简体" w:eastAsia="方正仿宋简体" w:cs="方正仿宋简体"/>
                <w:color w:val="auto"/>
                <w:spacing w:val="8"/>
                <w:sz w:val="21"/>
                <w:szCs w:val="21"/>
              </w:rPr>
            </w:pPr>
          </w:p>
        </w:tc>
      </w:tr>
      <w:tr w14:paraId="7308B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6" w:hRule="atLeast"/>
          <w:jc w:val="center"/>
        </w:trPr>
        <w:tc>
          <w:tcPr>
            <w:tcW w:w="680" w:type="dxa"/>
            <w:shd w:val="clear" w:color="auto" w:fill="auto"/>
            <w:vAlign w:val="center"/>
          </w:tcPr>
          <w:p w14:paraId="0A28E081">
            <w:pPr>
              <w:pageBreakBefore w:val="0"/>
              <w:kinsoku/>
              <w:wordWrap/>
              <w:overflowPunct/>
              <w:topLinePunct w:val="0"/>
              <w:bidi w:val="0"/>
              <w:spacing w:beforeAutospacing="0" w:afterAutospacing="0"/>
              <w:jc w:val="center"/>
              <w:rPr>
                <w:rFonts w:hint="eastAsia" w:ascii="方正仿宋简体" w:hAnsi="方正仿宋简体" w:eastAsia="方正仿宋简体" w:cs="方正仿宋简体"/>
                <w:b/>
                <w:bCs/>
                <w:color w:val="auto"/>
                <w:kern w:val="0"/>
                <w:sz w:val="21"/>
                <w:szCs w:val="21"/>
                <w:lang w:val="en-US" w:eastAsia="zh-CN" w:bidi="ar-SA"/>
              </w:rPr>
            </w:pPr>
            <w:r>
              <w:rPr>
                <w:rFonts w:hint="eastAsia" w:ascii="方正仿宋简体" w:hAnsi="方正仿宋简体" w:eastAsia="方正仿宋_GBK" w:cs="方正仿宋简体"/>
                <w:b/>
                <w:bCs/>
                <w:color w:val="auto"/>
                <w:kern w:val="0"/>
                <w:sz w:val="21"/>
                <w:szCs w:val="21"/>
                <w:lang w:val="en-US" w:eastAsia="zh-CN"/>
              </w:rPr>
              <w:t>序号</w:t>
            </w:r>
          </w:p>
        </w:tc>
        <w:tc>
          <w:tcPr>
            <w:tcW w:w="1166" w:type="dxa"/>
            <w:shd w:val="clear" w:color="auto" w:fill="auto"/>
            <w:vAlign w:val="center"/>
          </w:tcPr>
          <w:p w14:paraId="464CE120">
            <w:pPr>
              <w:pageBreakBefore w:val="0"/>
              <w:kinsoku/>
              <w:wordWrap/>
              <w:overflowPunct/>
              <w:topLinePunct w:val="0"/>
              <w:bidi w:val="0"/>
              <w:spacing w:beforeAutospacing="0" w:afterAutospacing="0"/>
              <w:jc w:val="center"/>
              <w:rPr>
                <w:rFonts w:hint="eastAsia" w:ascii="方正仿宋简体" w:hAnsi="方正仿宋简体" w:eastAsia="方正仿宋简体" w:cs="方正仿宋简体"/>
                <w:b/>
                <w:bCs/>
                <w:color w:val="auto"/>
                <w:kern w:val="0"/>
                <w:sz w:val="21"/>
                <w:szCs w:val="21"/>
                <w:lang w:val="en-US" w:eastAsia="zh-CN" w:bidi="ar-SA"/>
              </w:rPr>
            </w:pPr>
            <w:r>
              <w:rPr>
                <w:rFonts w:hint="eastAsia" w:ascii="方正仿宋简体" w:hAnsi="方正仿宋简体" w:eastAsia="方正仿宋_GBK" w:cs="方正仿宋简体"/>
                <w:b/>
                <w:bCs/>
                <w:color w:val="auto"/>
                <w:kern w:val="0"/>
                <w:sz w:val="21"/>
                <w:szCs w:val="21"/>
                <w:lang w:val="en-US" w:eastAsia="zh-CN"/>
              </w:rPr>
              <w:t>基准编号</w:t>
            </w:r>
          </w:p>
        </w:tc>
        <w:tc>
          <w:tcPr>
            <w:tcW w:w="1329" w:type="dxa"/>
            <w:shd w:val="clear" w:color="auto" w:fill="auto"/>
            <w:vAlign w:val="center"/>
          </w:tcPr>
          <w:p w14:paraId="6B061899">
            <w:pPr>
              <w:pageBreakBefore w:val="0"/>
              <w:kinsoku/>
              <w:wordWrap/>
              <w:overflowPunct/>
              <w:topLinePunct w:val="0"/>
              <w:bidi w:val="0"/>
              <w:spacing w:beforeAutospacing="0" w:afterAutospacing="0"/>
              <w:jc w:val="center"/>
              <w:rPr>
                <w:rFonts w:hint="eastAsia" w:ascii="方正仿宋简体" w:hAnsi="方正仿宋简体" w:eastAsia="方正仿宋简体" w:cs="方正仿宋简体"/>
                <w:b/>
                <w:bCs/>
                <w:color w:val="auto"/>
                <w:kern w:val="0"/>
                <w:sz w:val="21"/>
                <w:szCs w:val="21"/>
                <w:lang w:val="en-US" w:eastAsia="zh-CN" w:bidi="ar-SA"/>
              </w:rPr>
            </w:pPr>
            <w:r>
              <w:rPr>
                <w:rFonts w:hint="eastAsia" w:ascii="方正仿宋简体" w:hAnsi="方正仿宋简体" w:eastAsia="方正仿宋_GBK" w:cs="方正仿宋简体"/>
                <w:b/>
                <w:bCs/>
                <w:color w:val="auto"/>
                <w:kern w:val="0"/>
                <w:sz w:val="21"/>
                <w:szCs w:val="21"/>
                <w:lang w:val="en-US" w:eastAsia="zh-CN"/>
              </w:rPr>
              <w:t>违法行为</w:t>
            </w:r>
          </w:p>
        </w:tc>
        <w:tc>
          <w:tcPr>
            <w:tcW w:w="2063" w:type="dxa"/>
            <w:gridSpan w:val="2"/>
            <w:shd w:val="clear" w:color="auto" w:fill="auto"/>
            <w:vAlign w:val="center"/>
          </w:tcPr>
          <w:p w14:paraId="43751108">
            <w:pPr>
              <w:pageBreakBefore w:val="0"/>
              <w:kinsoku/>
              <w:wordWrap/>
              <w:overflowPunct/>
              <w:topLinePunct w:val="0"/>
              <w:bidi w:val="0"/>
              <w:spacing w:beforeAutospacing="0" w:afterAutospacing="0"/>
              <w:jc w:val="center"/>
              <w:rPr>
                <w:rFonts w:hint="eastAsia" w:ascii="方正仿宋简体" w:hAnsi="方正仿宋简体" w:eastAsia="方正仿宋简体" w:cs="方正仿宋简体"/>
                <w:b/>
                <w:bCs/>
                <w:color w:val="auto"/>
                <w:kern w:val="0"/>
                <w:sz w:val="21"/>
                <w:szCs w:val="21"/>
                <w:lang w:val="en-US" w:eastAsia="zh-CN" w:bidi="ar-SA"/>
              </w:rPr>
            </w:pPr>
            <w:r>
              <w:rPr>
                <w:rFonts w:hint="eastAsia" w:ascii="方正仿宋简体" w:hAnsi="方正仿宋简体" w:eastAsia="方正仿宋_GBK" w:cs="方正仿宋简体"/>
                <w:b/>
                <w:bCs/>
                <w:color w:val="auto"/>
                <w:kern w:val="0"/>
                <w:sz w:val="21"/>
                <w:szCs w:val="21"/>
                <w:lang w:val="en-US" w:eastAsia="zh-CN"/>
              </w:rPr>
              <w:t>违反条款</w:t>
            </w:r>
          </w:p>
        </w:tc>
        <w:tc>
          <w:tcPr>
            <w:tcW w:w="1339" w:type="dxa"/>
            <w:shd w:val="clear" w:color="auto" w:fill="auto"/>
            <w:vAlign w:val="center"/>
          </w:tcPr>
          <w:p w14:paraId="67DF6751">
            <w:pPr>
              <w:pageBreakBefore w:val="0"/>
              <w:kinsoku/>
              <w:wordWrap/>
              <w:overflowPunct/>
              <w:topLinePunct w:val="0"/>
              <w:bidi w:val="0"/>
              <w:spacing w:beforeAutospacing="0" w:afterAutospacing="0"/>
              <w:jc w:val="center"/>
              <w:rPr>
                <w:rFonts w:hint="eastAsia" w:ascii="方正仿宋简体" w:hAnsi="方正仿宋简体" w:eastAsia="方正仿宋简体" w:cs="方正仿宋简体"/>
                <w:b/>
                <w:bCs/>
                <w:color w:val="auto"/>
                <w:kern w:val="0"/>
                <w:sz w:val="21"/>
                <w:szCs w:val="21"/>
                <w:lang w:val="en-US" w:eastAsia="zh-CN" w:bidi="ar-SA"/>
              </w:rPr>
            </w:pPr>
            <w:r>
              <w:rPr>
                <w:rFonts w:hint="eastAsia" w:ascii="方正仿宋简体" w:hAnsi="方正仿宋简体" w:eastAsia="方正仿宋_GBK" w:cs="方正仿宋简体"/>
                <w:b/>
                <w:bCs/>
                <w:color w:val="auto"/>
                <w:kern w:val="0"/>
                <w:sz w:val="21"/>
                <w:szCs w:val="21"/>
                <w:lang w:val="en-US" w:eastAsia="zh-CN"/>
              </w:rPr>
              <w:t>处罚依据</w:t>
            </w:r>
          </w:p>
        </w:tc>
        <w:tc>
          <w:tcPr>
            <w:tcW w:w="1191" w:type="dxa"/>
            <w:shd w:val="clear" w:color="auto" w:fill="auto"/>
            <w:vAlign w:val="center"/>
          </w:tcPr>
          <w:p w14:paraId="78103CCB">
            <w:pPr>
              <w:pageBreakBefore w:val="0"/>
              <w:kinsoku/>
              <w:wordWrap/>
              <w:overflowPunct/>
              <w:topLinePunct w:val="0"/>
              <w:bidi w:val="0"/>
              <w:spacing w:beforeAutospacing="0" w:afterAutospacing="0"/>
              <w:jc w:val="center"/>
              <w:rPr>
                <w:rFonts w:hint="eastAsia" w:ascii="方正仿宋简体" w:hAnsi="方正仿宋简体" w:eastAsia="方正仿宋简体" w:cs="方正仿宋简体"/>
                <w:b/>
                <w:bCs/>
                <w:color w:val="auto"/>
                <w:kern w:val="0"/>
                <w:sz w:val="21"/>
                <w:szCs w:val="21"/>
                <w:lang w:val="en-US" w:eastAsia="zh-CN" w:bidi="ar-SA"/>
              </w:rPr>
            </w:pPr>
            <w:r>
              <w:rPr>
                <w:rFonts w:hint="eastAsia" w:ascii="方正仿宋简体" w:hAnsi="方正仿宋简体" w:eastAsia="方正仿宋_GBK" w:cs="方正仿宋简体"/>
                <w:b/>
                <w:bCs/>
                <w:color w:val="auto"/>
                <w:kern w:val="0"/>
                <w:sz w:val="21"/>
                <w:szCs w:val="21"/>
                <w:lang w:val="en-US" w:eastAsia="zh-CN"/>
              </w:rPr>
              <w:t>裁量幅度</w:t>
            </w:r>
          </w:p>
        </w:tc>
        <w:tc>
          <w:tcPr>
            <w:tcW w:w="4252" w:type="dxa"/>
            <w:shd w:val="clear" w:color="auto" w:fill="auto"/>
            <w:vAlign w:val="center"/>
          </w:tcPr>
          <w:p w14:paraId="6309379D">
            <w:pPr>
              <w:pageBreakBefore w:val="0"/>
              <w:kinsoku/>
              <w:wordWrap/>
              <w:overflowPunct/>
              <w:topLinePunct w:val="0"/>
              <w:bidi w:val="0"/>
              <w:spacing w:beforeAutospacing="0" w:afterAutospacing="0"/>
              <w:jc w:val="center"/>
              <w:rPr>
                <w:rFonts w:hint="eastAsia" w:ascii="方正仿宋简体" w:hAnsi="方正仿宋简体" w:eastAsia="方正仿宋简体" w:cs="方正仿宋简体"/>
                <w:b/>
                <w:bCs/>
                <w:color w:val="auto"/>
                <w:kern w:val="0"/>
                <w:sz w:val="21"/>
                <w:szCs w:val="21"/>
                <w:lang w:val="en-US" w:eastAsia="zh-CN" w:bidi="ar-SA"/>
              </w:rPr>
            </w:pPr>
            <w:r>
              <w:rPr>
                <w:rFonts w:hint="eastAsia" w:ascii="方正仿宋简体" w:hAnsi="方正仿宋简体" w:eastAsia="方正仿宋_GBK" w:cs="方正仿宋简体"/>
                <w:b/>
                <w:bCs/>
                <w:color w:val="auto"/>
                <w:kern w:val="0"/>
                <w:sz w:val="21"/>
                <w:szCs w:val="21"/>
                <w:lang w:val="en-US" w:eastAsia="zh-CN"/>
              </w:rPr>
              <w:t>违法情节和后果</w:t>
            </w:r>
          </w:p>
        </w:tc>
        <w:tc>
          <w:tcPr>
            <w:tcW w:w="1701" w:type="dxa"/>
            <w:shd w:val="clear" w:color="auto" w:fill="auto"/>
            <w:vAlign w:val="center"/>
          </w:tcPr>
          <w:p w14:paraId="32246819">
            <w:pPr>
              <w:pageBreakBefore w:val="0"/>
              <w:kinsoku/>
              <w:wordWrap/>
              <w:overflowPunct/>
              <w:topLinePunct w:val="0"/>
              <w:bidi w:val="0"/>
              <w:spacing w:beforeAutospacing="0" w:afterAutospacing="0"/>
              <w:jc w:val="center"/>
              <w:rPr>
                <w:rFonts w:hint="eastAsia" w:ascii="方正仿宋简体" w:hAnsi="方正仿宋简体" w:eastAsia="方正仿宋简体" w:cs="方正仿宋简体"/>
                <w:b/>
                <w:bCs/>
                <w:color w:val="auto"/>
                <w:kern w:val="0"/>
                <w:sz w:val="21"/>
                <w:szCs w:val="21"/>
                <w:lang w:val="en-US" w:eastAsia="zh-CN" w:bidi="ar-SA"/>
              </w:rPr>
            </w:pPr>
            <w:r>
              <w:rPr>
                <w:rFonts w:hint="eastAsia" w:ascii="方正仿宋简体" w:hAnsi="方正仿宋简体" w:eastAsia="方正仿宋_GBK" w:cs="方正仿宋简体"/>
                <w:b/>
                <w:bCs/>
                <w:color w:val="auto"/>
                <w:kern w:val="0"/>
                <w:sz w:val="21"/>
                <w:szCs w:val="21"/>
                <w:lang w:val="en-US" w:eastAsia="zh-CN"/>
              </w:rPr>
              <w:t>处罚裁量基准</w:t>
            </w:r>
          </w:p>
        </w:tc>
        <w:tc>
          <w:tcPr>
            <w:tcW w:w="1191" w:type="dxa"/>
            <w:shd w:val="clear" w:color="auto" w:fill="auto"/>
            <w:vAlign w:val="center"/>
          </w:tcPr>
          <w:p w14:paraId="45BDA00E">
            <w:pPr>
              <w:pageBreakBefore w:val="0"/>
              <w:kinsoku/>
              <w:wordWrap/>
              <w:overflowPunct/>
              <w:topLinePunct w:val="0"/>
              <w:bidi w:val="0"/>
              <w:spacing w:beforeAutospacing="0" w:afterAutospacing="0"/>
              <w:jc w:val="center"/>
              <w:rPr>
                <w:rFonts w:hint="eastAsia" w:ascii="方正仿宋简体" w:hAnsi="方正仿宋简体" w:eastAsia="方正仿宋简体" w:cs="方正仿宋简体"/>
                <w:b/>
                <w:bCs/>
                <w:color w:val="auto"/>
                <w:kern w:val="0"/>
                <w:sz w:val="21"/>
                <w:szCs w:val="21"/>
                <w:lang w:val="en-US" w:eastAsia="zh-CN" w:bidi="ar-SA"/>
              </w:rPr>
            </w:pPr>
            <w:r>
              <w:rPr>
                <w:rFonts w:hint="eastAsia" w:ascii="方正仿宋简体" w:hAnsi="方正仿宋简体" w:eastAsia="方正仿宋_GBK" w:cs="方正仿宋简体"/>
                <w:b/>
                <w:bCs/>
                <w:color w:val="auto"/>
                <w:kern w:val="0"/>
                <w:sz w:val="21"/>
                <w:szCs w:val="21"/>
                <w:lang w:val="en-US" w:eastAsia="zh-CN"/>
              </w:rPr>
              <w:t>其他处理</w:t>
            </w:r>
          </w:p>
        </w:tc>
      </w:tr>
      <w:tr w14:paraId="0A0EF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1" w:hRule="atLeast"/>
          <w:jc w:val="center"/>
        </w:trPr>
        <w:tc>
          <w:tcPr>
            <w:tcW w:w="680" w:type="dxa"/>
            <w:vMerge w:val="restart"/>
            <w:shd w:val="clear" w:color="auto" w:fill="auto"/>
            <w:vAlign w:val="center"/>
          </w:tcPr>
          <w:p w14:paraId="1FF4E900">
            <w:pPr>
              <w:pageBreakBefore w:val="0"/>
              <w:widowControl/>
              <w:kinsoku/>
              <w:wordWrap/>
              <w:overflowPunct/>
              <w:topLinePunct w:val="0"/>
              <w:bidi w:val="0"/>
              <w:spacing w:beforeAutospacing="0" w:afterAutospacing="0"/>
              <w:jc w:val="center"/>
              <w:rPr>
                <w:rFonts w:hint="eastAsia" w:ascii="方正仿宋简体" w:hAnsi="方正仿宋简体" w:eastAsia="方正仿宋简体" w:cs="方正仿宋简体"/>
                <w:color w:val="auto"/>
                <w:kern w:val="0"/>
                <w:sz w:val="21"/>
                <w:szCs w:val="21"/>
                <w:lang w:val="en-US" w:eastAsia="zh-CN" w:bidi="ar-SA"/>
              </w:rPr>
            </w:pPr>
            <w:r>
              <w:rPr>
                <w:rFonts w:hint="eastAsia" w:ascii="方正仿宋简体" w:hAnsi="方正仿宋简体" w:eastAsia="方正仿宋_GBK" w:cs="方正仿宋简体"/>
                <w:color w:val="auto"/>
                <w:kern w:val="0"/>
                <w:sz w:val="21"/>
                <w:szCs w:val="21"/>
                <w:lang w:val="en-US" w:eastAsia="zh-CN" w:bidi="ar-SA"/>
              </w:rPr>
              <w:t>2</w:t>
            </w:r>
          </w:p>
        </w:tc>
        <w:tc>
          <w:tcPr>
            <w:tcW w:w="1166" w:type="dxa"/>
            <w:vMerge w:val="restart"/>
            <w:shd w:val="clear" w:color="auto" w:fill="auto"/>
            <w:vAlign w:val="center"/>
          </w:tcPr>
          <w:p w14:paraId="261C5691">
            <w:pPr>
              <w:pageBreakBefore w:val="0"/>
              <w:widowControl/>
              <w:kinsoku/>
              <w:wordWrap/>
              <w:overflowPunct/>
              <w:topLinePunct w:val="0"/>
              <w:bidi w:val="0"/>
              <w:spacing w:beforeAutospacing="0" w:afterAutospacing="0"/>
              <w:jc w:val="center"/>
              <w:rPr>
                <w:rFonts w:hint="eastAsia" w:ascii="方正仿宋简体" w:hAnsi="方正仿宋简体" w:eastAsia="方正仿宋简体" w:cs="方正仿宋简体"/>
                <w:color w:val="auto"/>
                <w:kern w:val="0"/>
                <w:sz w:val="21"/>
                <w:szCs w:val="21"/>
                <w:lang w:val="en-US" w:eastAsia="zh-CN" w:bidi="ar-SA"/>
              </w:rPr>
            </w:pPr>
          </w:p>
        </w:tc>
        <w:tc>
          <w:tcPr>
            <w:tcW w:w="1329" w:type="dxa"/>
            <w:vMerge w:val="restart"/>
            <w:shd w:val="clear" w:color="auto" w:fill="auto"/>
            <w:vAlign w:val="center"/>
          </w:tcPr>
          <w:p w14:paraId="6734B0C2">
            <w:pPr>
              <w:pageBreakBefore w:val="0"/>
              <w:widowControl/>
              <w:kinsoku/>
              <w:wordWrap/>
              <w:overflowPunct/>
              <w:topLinePunct w:val="0"/>
              <w:bidi w:val="0"/>
              <w:spacing w:beforeAutospacing="0" w:afterAutospacing="0"/>
              <w:jc w:val="both"/>
              <w:rPr>
                <w:rFonts w:hint="eastAsia" w:ascii="方正仿宋简体" w:hAnsi="方正仿宋简体" w:eastAsia="方正仿宋简体" w:cs="方正仿宋简体"/>
                <w:color w:val="auto"/>
                <w:kern w:val="0"/>
                <w:sz w:val="21"/>
                <w:szCs w:val="21"/>
                <w:lang w:val="en-US" w:eastAsia="zh-CN" w:bidi="ar-SA"/>
              </w:rPr>
            </w:pPr>
            <w:r>
              <w:rPr>
                <w:rFonts w:hint="eastAsia" w:ascii="方正仿宋简体" w:hAnsi="方正仿宋简体" w:eastAsia="方正仿宋_GBK" w:cs="方正仿宋简体"/>
                <w:color w:val="auto"/>
                <w:kern w:val="0"/>
                <w:sz w:val="21"/>
                <w:szCs w:val="21"/>
                <w:lang w:val="en-US" w:eastAsia="zh-CN" w:bidi="ar-SA"/>
              </w:rPr>
              <w:t>其他建设工程验收后经依法抽查不合格，不停止使用</w:t>
            </w:r>
          </w:p>
        </w:tc>
        <w:tc>
          <w:tcPr>
            <w:tcW w:w="2063" w:type="dxa"/>
            <w:gridSpan w:val="2"/>
            <w:vMerge w:val="restart"/>
            <w:shd w:val="clear" w:color="auto" w:fill="auto"/>
            <w:vAlign w:val="center"/>
          </w:tcPr>
          <w:p w14:paraId="466821FA">
            <w:pPr>
              <w:pageBreakBefore w:val="0"/>
              <w:widowControl/>
              <w:kinsoku/>
              <w:wordWrap/>
              <w:overflowPunct/>
              <w:topLinePunct w:val="0"/>
              <w:bidi w:val="0"/>
              <w:spacing w:beforeAutospacing="0" w:afterAutospacing="0"/>
              <w:jc w:val="both"/>
              <w:rPr>
                <w:rFonts w:hint="eastAsia" w:ascii="方正仿宋简体" w:hAnsi="方正仿宋简体" w:eastAsia="方正仿宋_GBK" w:cs="方正仿宋简体"/>
                <w:color w:val="auto"/>
                <w:kern w:val="0"/>
                <w:sz w:val="21"/>
                <w:szCs w:val="21"/>
                <w:lang w:val="en-US" w:eastAsia="zh-CN" w:bidi="ar-SA"/>
              </w:rPr>
            </w:pPr>
            <w:r>
              <w:rPr>
                <w:rFonts w:hint="eastAsia" w:ascii="方正仿宋简体" w:hAnsi="方正仿宋简体" w:eastAsia="方正仿宋_GBK" w:cs="方正仿宋简体"/>
                <w:color w:val="auto"/>
                <w:kern w:val="0"/>
                <w:sz w:val="21"/>
                <w:szCs w:val="21"/>
                <w:lang w:val="en-US" w:eastAsia="zh-CN" w:bidi="ar-SA"/>
              </w:rPr>
              <w:t>《中华人民共和国消防法》第十三条 国务院住房和城乡建设主管部门规定应当申请消防验收的建设工程竣工，建设单位应当向住房和城乡建设主管部门申请消防验收。</w:t>
            </w:r>
          </w:p>
          <w:p w14:paraId="0ECD68D3">
            <w:pPr>
              <w:pageBreakBefore w:val="0"/>
              <w:widowControl/>
              <w:kinsoku/>
              <w:wordWrap/>
              <w:overflowPunct/>
              <w:topLinePunct w:val="0"/>
              <w:bidi w:val="0"/>
              <w:spacing w:beforeAutospacing="0" w:afterAutospacing="0"/>
              <w:jc w:val="both"/>
              <w:rPr>
                <w:rFonts w:hint="eastAsia" w:ascii="方正仿宋简体" w:hAnsi="方正仿宋简体" w:eastAsia="方正仿宋_GBK" w:cs="方正仿宋简体"/>
                <w:color w:val="auto"/>
                <w:kern w:val="0"/>
                <w:sz w:val="21"/>
                <w:szCs w:val="21"/>
                <w:lang w:val="en-US" w:eastAsia="zh-CN" w:bidi="ar-SA"/>
              </w:rPr>
            </w:pPr>
            <w:r>
              <w:rPr>
                <w:rFonts w:hint="eastAsia" w:ascii="方正仿宋简体" w:hAnsi="方正仿宋简体" w:eastAsia="方正仿宋_GBK" w:cs="方正仿宋简体"/>
                <w:color w:val="auto"/>
                <w:kern w:val="0"/>
                <w:sz w:val="21"/>
                <w:szCs w:val="21"/>
                <w:lang w:val="en-US" w:eastAsia="zh-CN" w:bidi="ar-SA"/>
              </w:rPr>
              <w:t>前款规定以外的其他建设工程，建设单位在验收后应当报住房和城乡建设主管部门备案，住房和城乡建设主管部门应当进行抽查。</w:t>
            </w:r>
          </w:p>
          <w:p w14:paraId="3A6EBBF4">
            <w:pPr>
              <w:pageBreakBefore w:val="0"/>
              <w:widowControl/>
              <w:kinsoku/>
              <w:wordWrap/>
              <w:overflowPunct/>
              <w:topLinePunct w:val="0"/>
              <w:bidi w:val="0"/>
              <w:spacing w:beforeAutospacing="0" w:afterAutospacing="0"/>
              <w:jc w:val="both"/>
              <w:rPr>
                <w:rFonts w:hint="eastAsia" w:ascii="方正仿宋简体" w:hAnsi="方正仿宋简体" w:eastAsia="方正仿宋简体" w:cs="方正仿宋简体"/>
                <w:color w:val="auto"/>
                <w:kern w:val="0"/>
                <w:sz w:val="21"/>
                <w:szCs w:val="21"/>
                <w:lang w:val="en-US" w:eastAsia="zh-CN" w:bidi="ar-SA"/>
              </w:rPr>
            </w:pPr>
            <w:r>
              <w:rPr>
                <w:rFonts w:hint="eastAsia" w:ascii="方正仿宋简体" w:hAnsi="方正仿宋简体" w:eastAsia="方正仿宋_GBK" w:cs="方正仿宋简体"/>
                <w:color w:val="auto"/>
                <w:kern w:val="0"/>
                <w:sz w:val="21"/>
                <w:szCs w:val="21"/>
                <w:lang w:val="en-US" w:eastAsia="zh-CN" w:bidi="ar-SA"/>
              </w:rPr>
              <w:t>依法应当进行消防验收的建设工程，未经消防验收或者消防验收不合格的，禁止投入使用；其他建设工程经依法抽查不合格的，应当停止使用。</w:t>
            </w:r>
          </w:p>
        </w:tc>
        <w:tc>
          <w:tcPr>
            <w:tcW w:w="1339" w:type="dxa"/>
            <w:vMerge w:val="restart"/>
            <w:shd w:val="clear" w:color="auto" w:fill="auto"/>
            <w:vAlign w:val="center"/>
          </w:tcPr>
          <w:p w14:paraId="2E5212F7">
            <w:pPr>
              <w:pageBreakBefore w:val="0"/>
              <w:widowControl/>
              <w:kinsoku/>
              <w:wordWrap/>
              <w:overflowPunct/>
              <w:topLinePunct w:val="0"/>
              <w:bidi w:val="0"/>
              <w:spacing w:beforeAutospacing="0" w:afterAutospacing="0"/>
              <w:jc w:val="both"/>
              <w:rPr>
                <w:rFonts w:hint="eastAsia" w:ascii="方正仿宋简体" w:hAnsi="方正仿宋简体" w:eastAsia="方正仿宋简体" w:cs="方正仿宋简体"/>
                <w:color w:val="auto"/>
                <w:kern w:val="0"/>
                <w:sz w:val="21"/>
                <w:szCs w:val="21"/>
                <w:lang w:val="en-US" w:eastAsia="zh-CN" w:bidi="ar-SA"/>
              </w:rPr>
            </w:pPr>
            <w:r>
              <w:rPr>
                <w:rFonts w:hint="eastAsia" w:ascii="方正仿宋简体" w:hAnsi="方正仿宋简体" w:eastAsia="方正仿宋_GBK" w:cs="方正仿宋简体"/>
                <w:color w:val="auto"/>
                <w:kern w:val="0"/>
                <w:sz w:val="21"/>
                <w:szCs w:val="21"/>
                <w:lang w:val="en-US" w:eastAsia="zh-CN" w:bidi="ar-SA"/>
              </w:rPr>
              <w:t>《中华人民共和国消防法》第五十八条第一款 第三项“本法第十三条规定的其他建设工程验收后经依法抽查不合格，不停止使用的”，由住房和城乡建设主管部门，责令其停止使用，并处三万元以上十万元以下罚款</w:t>
            </w:r>
          </w:p>
        </w:tc>
        <w:tc>
          <w:tcPr>
            <w:tcW w:w="1191" w:type="dxa"/>
            <w:shd w:val="clear" w:color="auto" w:fill="auto"/>
            <w:vAlign w:val="center"/>
          </w:tcPr>
          <w:p w14:paraId="30E50140">
            <w:pPr>
              <w:pageBreakBefore w:val="0"/>
              <w:widowControl/>
              <w:kinsoku/>
              <w:wordWrap/>
              <w:overflowPunct/>
              <w:topLinePunct w:val="0"/>
              <w:bidi w:val="0"/>
              <w:spacing w:beforeAutospacing="0" w:afterAutospacing="0"/>
              <w:jc w:val="center"/>
              <w:rPr>
                <w:rFonts w:hint="eastAsia" w:ascii="方正仿宋简体" w:hAnsi="方正仿宋简体" w:eastAsia="方正仿宋简体" w:cs="方正仿宋简体"/>
                <w:color w:val="auto"/>
                <w:kern w:val="0"/>
                <w:sz w:val="21"/>
                <w:szCs w:val="21"/>
                <w:lang w:val="en-US" w:eastAsia="zh-CN" w:bidi="ar-SA"/>
              </w:rPr>
            </w:pPr>
            <w:r>
              <w:rPr>
                <w:rFonts w:hint="eastAsia" w:ascii="方正仿宋简体" w:hAnsi="方正仿宋简体" w:eastAsia="方正仿宋_GBK" w:cs="方正仿宋简体"/>
                <w:color w:val="auto"/>
                <w:sz w:val="21"/>
                <w:szCs w:val="21"/>
                <w:lang w:val="en-US" w:eastAsia="zh-CN"/>
              </w:rPr>
              <w:t>较轻</w:t>
            </w:r>
          </w:p>
        </w:tc>
        <w:tc>
          <w:tcPr>
            <w:tcW w:w="4252" w:type="dxa"/>
            <w:vMerge w:val="restart"/>
            <w:shd w:val="clear" w:color="auto" w:fill="auto"/>
            <w:vAlign w:val="center"/>
          </w:tcPr>
          <w:p w14:paraId="61EED83C">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firstLine="420" w:firstLineChars="200"/>
              <w:jc w:val="both"/>
              <w:textAlignment w:val="auto"/>
              <w:rPr>
                <w:rFonts w:hint="eastAsia" w:ascii="方正仿宋简体" w:hAnsi="方正仿宋简体" w:eastAsia="方正仿宋_GBK" w:cs="方正仿宋简体"/>
                <w:color w:val="auto"/>
                <w:kern w:val="0"/>
                <w:sz w:val="21"/>
                <w:szCs w:val="21"/>
                <w:lang w:val="en-US" w:eastAsia="zh-CN" w:bidi="ar-SA"/>
              </w:rPr>
            </w:pPr>
            <w:bookmarkStart w:id="0" w:name="FunCunProofread36933"/>
            <w:r>
              <w:rPr>
                <w:rFonts w:hint="eastAsia" w:ascii="方正仿宋简体" w:hAnsi="方正仿宋简体" w:eastAsia="方正仿宋_GBK" w:cs="方正仿宋简体"/>
                <w:color w:val="auto"/>
                <w:kern w:val="0"/>
                <w:sz w:val="21"/>
                <w:szCs w:val="21"/>
                <w:u w:val="none" w:color="ED7D31"/>
                <w:lang w:val="en-US" w:eastAsia="zh-CN" w:bidi="ar-SA"/>
              </w:rPr>
              <w:t>（一）</w:t>
            </w:r>
            <w:bookmarkEnd w:id="0"/>
            <w:r>
              <w:rPr>
                <w:rFonts w:hint="eastAsia" w:ascii="方正仿宋简体" w:hAnsi="方正仿宋简体" w:eastAsia="方正仿宋_GBK" w:cs="方正仿宋简体"/>
                <w:color w:val="auto"/>
                <w:kern w:val="0"/>
                <w:sz w:val="21"/>
                <w:szCs w:val="21"/>
                <w:lang w:val="en-US" w:eastAsia="zh-CN" w:bidi="ar-SA"/>
              </w:rPr>
              <w:t>建筑总面积不足五百平方米的公共娱乐场所或者建筑面积五百平方米以上但不具备娱乐功能的茶馆、咖啡厅等；</w:t>
            </w:r>
          </w:p>
          <w:p w14:paraId="7ADC03F0">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firstLine="420" w:firstLineChars="200"/>
              <w:jc w:val="both"/>
              <w:textAlignment w:val="auto"/>
              <w:rPr>
                <w:rFonts w:hint="eastAsia" w:ascii="方正仿宋简体" w:hAnsi="方正仿宋简体" w:eastAsia="方正仿宋_GBK" w:cs="方正仿宋简体"/>
                <w:color w:val="auto"/>
                <w:kern w:val="0"/>
                <w:sz w:val="21"/>
                <w:szCs w:val="21"/>
                <w:lang w:val="en-US" w:eastAsia="zh-CN" w:bidi="ar-SA"/>
              </w:rPr>
            </w:pPr>
            <w:bookmarkStart w:id="1" w:name="FunCunProofread37463"/>
            <w:r>
              <w:rPr>
                <w:rFonts w:hint="eastAsia" w:ascii="方正仿宋简体" w:hAnsi="方正仿宋简体" w:eastAsia="方正仿宋_GBK" w:cs="方正仿宋简体"/>
                <w:color w:val="auto"/>
                <w:kern w:val="0"/>
                <w:sz w:val="21"/>
                <w:szCs w:val="21"/>
                <w:u w:val="none" w:color="ED7D31"/>
                <w:lang w:val="en-US" w:eastAsia="zh-CN" w:bidi="ar-SA"/>
              </w:rPr>
              <w:t>（二）</w:t>
            </w:r>
            <w:bookmarkEnd w:id="1"/>
            <w:r>
              <w:rPr>
                <w:rFonts w:hint="eastAsia" w:ascii="方正仿宋简体" w:hAnsi="方正仿宋简体" w:eastAsia="方正仿宋_GBK" w:cs="方正仿宋简体"/>
                <w:color w:val="auto"/>
                <w:kern w:val="0"/>
                <w:sz w:val="21"/>
                <w:szCs w:val="21"/>
                <w:lang w:val="en-US" w:eastAsia="zh-CN" w:bidi="ar-SA"/>
              </w:rPr>
              <w:t>建筑总面积不足五千平方米的宾馆、饭店、商场、市场；</w:t>
            </w:r>
          </w:p>
          <w:p w14:paraId="6637D4EA">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firstLine="420" w:firstLineChars="200"/>
              <w:jc w:val="both"/>
              <w:textAlignment w:val="auto"/>
              <w:rPr>
                <w:rFonts w:hint="eastAsia" w:ascii="方正仿宋简体" w:hAnsi="方正仿宋简体" w:eastAsia="方正仿宋_GBK" w:cs="方正仿宋简体"/>
                <w:color w:val="auto"/>
                <w:kern w:val="0"/>
                <w:sz w:val="21"/>
                <w:szCs w:val="21"/>
                <w:lang w:val="en-US" w:eastAsia="zh-CN" w:bidi="ar-SA"/>
              </w:rPr>
            </w:pPr>
            <w:bookmarkStart w:id="2" w:name="FunCunProofread37753"/>
            <w:r>
              <w:rPr>
                <w:rFonts w:hint="eastAsia" w:ascii="方正仿宋简体" w:hAnsi="方正仿宋简体" w:eastAsia="方正仿宋_GBK" w:cs="方正仿宋简体"/>
                <w:color w:val="auto"/>
                <w:kern w:val="0"/>
                <w:sz w:val="21"/>
                <w:szCs w:val="21"/>
                <w:u w:val="none" w:color="ED7D31"/>
                <w:lang w:val="en-US" w:eastAsia="zh-CN" w:bidi="ar-SA"/>
              </w:rPr>
              <w:t>（三）</w:t>
            </w:r>
            <w:bookmarkEnd w:id="2"/>
            <w:r>
              <w:rPr>
                <w:rFonts w:hint="eastAsia" w:ascii="方正仿宋简体" w:hAnsi="方正仿宋简体" w:eastAsia="方正仿宋_GBK" w:cs="方正仿宋简体"/>
                <w:color w:val="auto"/>
                <w:kern w:val="0"/>
                <w:sz w:val="21"/>
                <w:szCs w:val="21"/>
                <w:lang w:val="en-US" w:eastAsia="zh-CN" w:bidi="ar-SA"/>
              </w:rPr>
              <w:t>多层住宅，多层商住楼，多层办公楼，写字楼；</w:t>
            </w:r>
          </w:p>
          <w:p w14:paraId="400488EB">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firstLine="420" w:firstLineChars="200"/>
              <w:jc w:val="both"/>
              <w:textAlignment w:val="auto"/>
              <w:rPr>
                <w:rFonts w:hint="eastAsia" w:ascii="方正仿宋简体" w:hAnsi="方正仿宋简体" w:eastAsia="方正仿宋_GBK" w:cs="方正仿宋简体"/>
                <w:color w:val="auto"/>
                <w:kern w:val="0"/>
                <w:sz w:val="21"/>
                <w:szCs w:val="21"/>
                <w:lang w:val="en-US" w:eastAsia="zh-CN" w:bidi="ar-SA"/>
              </w:rPr>
            </w:pPr>
            <w:bookmarkStart w:id="3" w:name="FunCunProofread38003"/>
            <w:r>
              <w:rPr>
                <w:rFonts w:hint="eastAsia" w:ascii="方正仿宋简体" w:hAnsi="方正仿宋简体" w:eastAsia="方正仿宋_GBK" w:cs="方正仿宋简体"/>
                <w:color w:val="auto"/>
                <w:kern w:val="0"/>
                <w:sz w:val="21"/>
                <w:szCs w:val="21"/>
                <w:u w:val="none" w:color="ED7D31"/>
                <w:lang w:val="en-US" w:eastAsia="zh-CN" w:bidi="ar-SA"/>
              </w:rPr>
              <w:t>（四）</w:t>
            </w:r>
            <w:bookmarkEnd w:id="3"/>
            <w:r>
              <w:rPr>
                <w:rFonts w:hint="eastAsia" w:ascii="方正仿宋简体" w:hAnsi="方正仿宋简体" w:eastAsia="方正仿宋_GBK" w:cs="方正仿宋简体"/>
                <w:color w:val="auto"/>
                <w:kern w:val="0"/>
                <w:sz w:val="21"/>
                <w:szCs w:val="21"/>
                <w:lang w:val="en-US" w:eastAsia="zh-CN" w:bidi="ar-SA"/>
              </w:rPr>
              <w:t>建筑总面积不足二千五百平方米的医院的门诊楼，大学的教学楼、图书馆、食堂，寺庙、教堂；</w:t>
            </w:r>
          </w:p>
          <w:p w14:paraId="2DFD6994">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firstLine="420" w:firstLineChars="200"/>
              <w:jc w:val="both"/>
              <w:textAlignment w:val="auto"/>
              <w:rPr>
                <w:rFonts w:hint="eastAsia" w:ascii="方正仿宋简体" w:hAnsi="方正仿宋简体" w:eastAsia="方正仿宋_GBK" w:cs="方正仿宋简体"/>
                <w:color w:val="auto"/>
                <w:kern w:val="0"/>
                <w:sz w:val="21"/>
                <w:szCs w:val="21"/>
                <w:lang w:val="en-US" w:eastAsia="zh-CN" w:bidi="ar-SA"/>
              </w:rPr>
            </w:pPr>
            <w:bookmarkStart w:id="4" w:name="FunCunProofread38463"/>
            <w:r>
              <w:rPr>
                <w:rFonts w:hint="eastAsia" w:ascii="方正仿宋简体" w:hAnsi="方正仿宋简体" w:eastAsia="方正仿宋_GBK" w:cs="方正仿宋简体"/>
                <w:color w:val="auto"/>
                <w:kern w:val="0"/>
                <w:sz w:val="21"/>
                <w:szCs w:val="21"/>
                <w:u w:val="none" w:color="ED7D31"/>
                <w:lang w:val="en-US" w:eastAsia="zh-CN" w:bidi="ar-SA"/>
              </w:rPr>
              <w:t>（五）</w:t>
            </w:r>
            <w:bookmarkEnd w:id="4"/>
            <w:r>
              <w:rPr>
                <w:rFonts w:hint="eastAsia" w:ascii="方正仿宋简体" w:hAnsi="方正仿宋简体" w:eastAsia="方正仿宋_GBK" w:cs="方正仿宋简体"/>
                <w:color w:val="auto"/>
                <w:kern w:val="0"/>
                <w:sz w:val="21"/>
                <w:szCs w:val="21"/>
                <w:lang w:val="en-US" w:eastAsia="zh-CN" w:bidi="ar-SA"/>
              </w:rPr>
              <w:t>建筑总面积不足三万平方米的非劳动密集型生产车间、库房；</w:t>
            </w:r>
          </w:p>
          <w:p w14:paraId="158016D1">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firstLine="420" w:firstLineChars="200"/>
              <w:jc w:val="both"/>
              <w:textAlignment w:val="auto"/>
              <w:rPr>
                <w:rFonts w:hint="eastAsia" w:ascii="方正仿宋简体" w:hAnsi="方正仿宋简体" w:eastAsia="方正仿宋_GBK" w:cs="方正仿宋简体"/>
                <w:color w:val="auto"/>
                <w:kern w:val="0"/>
                <w:sz w:val="21"/>
                <w:szCs w:val="21"/>
                <w:lang w:val="en-US" w:eastAsia="zh-CN" w:bidi="ar-SA"/>
              </w:rPr>
            </w:pPr>
            <w:bookmarkStart w:id="5" w:name="FunCunProofread38773"/>
            <w:r>
              <w:rPr>
                <w:rFonts w:hint="eastAsia" w:ascii="方正仿宋简体" w:hAnsi="方正仿宋简体" w:eastAsia="方正仿宋_GBK" w:cs="方正仿宋简体"/>
                <w:color w:val="auto"/>
                <w:kern w:val="0"/>
                <w:sz w:val="21"/>
                <w:szCs w:val="21"/>
                <w:u w:val="none" w:color="ED7D31"/>
                <w:lang w:val="en-US" w:eastAsia="zh-CN" w:bidi="ar-SA"/>
              </w:rPr>
              <w:t>（六）</w:t>
            </w:r>
            <w:bookmarkEnd w:id="5"/>
            <w:r>
              <w:rPr>
                <w:rFonts w:hint="eastAsia" w:ascii="方正仿宋简体" w:hAnsi="方正仿宋简体" w:eastAsia="方正仿宋_GBK" w:cs="方正仿宋简体"/>
                <w:color w:val="auto"/>
                <w:kern w:val="0"/>
                <w:sz w:val="21"/>
                <w:szCs w:val="21"/>
                <w:lang w:val="en-US" w:eastAsia="zh-CN" w:bidi="ar-SA"/>
              </w:rPr>
              <w:t>其他应进行消防备案抽查的建设工程。</w:t>
            </w:r>
          </w:p>
          <w:p w14:paraId="07034EFD">
            <w:pPr>
              <w:pageBreakBefore w:val="0"/>
              <w:widowControl/>
              <w:kinsoku/>
              <w:wordWrap/>
              <w:overflowPunct/>
              <w:topLinePunct w:val="0"/>
              <w:bidi w:val="0"/>
              <w:spacing w:beforeAutospacing="0" w:afterAutospacing="0"/>
              <w:jc w:val="both"/>
              <w:rPr>
                <w:rFonts w:hint="eastAsia" w:ascii="方正仿宋简体" w:hAnsi="方正仿宋简体" w:eastAsia="方正仿宋简体" w:cs="方正仿宋简体"/>
                <w:color w:val="auto"/>
                <w:kern w:val="0"/>
                <w:sz w:val="21"/>
                <w:szCs w:val="21"/>
                <w:lang w:val="en-US" w:eastAsia="zh-CN" w:bidi="ar-SA"/>
              </w:rPr>
            </w:pPr>
          </w:p>
        </w:tc>
        <w:tc>
          <w:tcPr>
            <w:tcW w:w="1701" w:type="dxa"/>
            <w:shd w:val="clear" w:color="auto" w:fill="auto"/>
            <w:vAlign w:val="center"/>
          </w:tcPr>
          <w:p w14:paraId="2E3AAB4A">
            <w:pPr>
              <w:pageBreakBefore w:val="0"/>
              <w:widowControl/>
              <w:kinsoku/>
              <w:wordWrap/>
              <w:overflowPunct/>
              <w:topLinePunct w:val="0"/>
              <w:bidi w:val="0"/>
              <w:spacing w:beforeAutospacing="0" w:afterAutospacing="0"/>
              <w:jc w:val="both"/>
              <w:rPr>
                <w:rFonts w:hint="eastAsia" w:ascii="方正仿宋简体" w:hAnsi="方正仿宋简体" w:eastAsia="方正仿宋简体" w:cs="方正仿宋简体"/>
                <w:color w:val="auto"/>
                <w:kern w:val="0"/>
                <w:sz w:val="21"/>
                <w:szCs w:val="21"/>
                <w:lang w:val="en-US" w:eastAsia="zh-CN" w:bidi="ar-SA"/>
              </w:rPr>
            </w:pPr>
            <w:r>
              <w:rPr>
                <w:rFonts w:hint="eastAsia" w:ascii="方正仿宋简体" w:hAnsi="方正仿宋简体" w:eastAsia="方正仿宋_GBK" w:cs="方正仿宋简体"/>
                <w:color w:val="auto"/>
                <w:kern w:val="0"/>
                <w:sz w:val="21"/>
                <w:szCs w:val="21"/>
                <w:lang w:val="en-US" w:eastAsia="zh-CN" w:bidi="ar-SA"/>
              </w:rPr>
              <w:t>处三万元以上五万元以下罚款</w:t>
            </w:r>
          </w:p>
        </w:tc>
        <w:tc>
          <w:tcPr>
            <w:tcW w:w="1191" w:type="dxa"/>
            <w:vMerge w:val="restart"/>
            <w:shd w:val="clear" w:color="auto" w:fill="auto"/>
            <w:vAlign w:val="center"/>
          </w:tcPr>
          <w:p w14:paraId="07731F88">
            <w:pPr>
              <w:pageBreakBefore w:val="0"/>
              <w:widowControl/>
              <w:kinsoku/>
              <w:wordWrap/>
              <w:overflowPunct/>
              <w:topLinePunct w:val="0"/>
              <w:bidi w:val="0"/>
              <w:spacing w:beforeAutospacing="0" w:afterAutospacing="0"/>
              <w:jc w:val="both"/>
              <w:rPr>
                <w:rFonts w:hint="eastAsia" w:ascii="方正仿宋简体" w:hAnsi="方正仿宋简体" w:eastAsia="方正仿宋简体" w:cs="方正仿宋简体"/>
                <w:color w:val="auto"/>
                <w:spacing w:val="8"/>
                <w:kern w:val="2"/>
                <w:sz w:val="21"/>
                <w:szCs w:val="21"/>
                <w:lang w:val="en-US" w:eastAsia="zh-CN" w:bidi="ar-SA"/>
              </w:rPr>
            </w:pPr>
            <w:r>
              <w:rPr>
                <w:rFonts w:hint="eastAsia" w:ascii="方正仿宋简体" w:hAnsi="方正仿宋简体" w:eastAsia="方正仿宋_GBK" w:cs="方正仿宋简体"/>
                <w:color w:val="auto"/>
                <w:kern w:val="0"/>
                <w:sz w:val="21"/>
                <w:szCs w:val="21"/>
                <w:lang w:val="en-US" w:eastAsia="zh-CN" w:bidi="ar-SA"/>
              </w:rPr>
              <w:t>住房和城乡建设主管部门，责令其停止使用</w:t>
            </w:r>
          </w:p>
        </w:tc>
      </w:tr>
      <w:tr w14:paraId="3FD3C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95" w:hRule="atLeast"/>
          <w:jc w:val="center"/>
        </w:trPr>
        <w:tc>
          <w:tcPr>
            <w:tcW w:w="680" w:type="dxa"/>
            <w:vMerge w:val="continue"/>
            <w:shd w:val="clear" w:color="auto" w:fill="auto"/>
            <w:vAlign w:val="center"/>
          </w:tcPr>
          <w:p w14:paraId="6D5785DD">
            <w:pPr>
              <w:pageBreakBefore w:val="0"/>
              <w:widowControl/>
              <w:kinsoku/>
              <w:wordWrap/>
              <w:overflowPunct/>
              <w:topLinePunct w:val="0"/>
              <w:bidi w:val="0"/>
              <w:spacing w:beforeAutospacing="0" w:afterAutospacing="0"/>
              <w:jc w:val="center"/>
              <w:rPr>
                <w:rFonts w:hint="eastAsia" w:ascii="方正仿宋简体" w:hAnsi="方正仿宋简体" w:eastAsia="方正仿宋_GBK" w:cs="方正仿宋简体"/>
                <w:color w:val="auto"/>
                <w:kern w:val="0"/>
                <w:sz w:val="21"/>
                <w:szCs w:val="21"/>
                <w:lang w:val="en-US" w:eastAsia="zh-CN" w:bidi="ar-SA"/>
              </w:rPr>
            </w:pPr>
          </w:p>
        </w:tc>
        <w:tc>
          <w:tcPr>
            <w:tcW w:w="1166" w:type="dxa"/>
            <w:vMerge w:val="continue"/>
            <w:shd w:val="clear" w:color="auto" w:fill="auto"/>
            <w:vAlign w:val="center"/>
          </w:tcPr>
          <w:p w14:paraId="1C34D8A0">
            <w:pPr>
              <w:pageBreakBefore w:val="0"/>
              <w:widowControl/>
              <w:kinsoku/>
              <w:wordWrap/>
              <w:overflowPunct/>
              <w:topLinePunct w:val="0"/>
              <w:bidi w:val="0"/>
              <w:spacing w:beforeAutospacing="0" w:afterAutospacing="0"/>
              <w:jc w:val="center"/>
              <w:rPr>
                <w:rFonts w:hint="eastAsia" w:ascii="方正仿宋简体" w:hAnsi="方正仿宋简体" w:eastAsia="方正仿宋简体" w:cs="方正仿宋简体"/>
                <w:color w:val="auto"/>
                <w:kern w:val="0"/>
                <w:sz w:val="21"/>
                <w:szCs w:val="21"/>
                <w:lang w:val="en-US" w:eastAsia="zh-CN" w:bidi="ar-SA"/>
              </w:rPr>
            </w:pPr>
          </w:p>
        </w:tc>
        <w:tc>
          <w:tcPr>
            <w:tcW w:w="1329" w:type="dxa"/>
            <w:vMerge w:val="continue"/>
            <w:shd w:val="clear" w:color="auto" w:fill="auto"/>
            <w:vAlign w:val="center"/>
          </w:tcPr>
          <w:p w14:paraId="5BEB9ED8">
            <w:pPr>
              <w:pageBreakBefore w:val="0"/>
              <w:widowControl/>
              <w:kinsoku/>
              <w:wordWrap/>
              <w:overflowPunct/>
              <w:topLinePunct w:val="0"/>
              <w:bidi w:val="0"/>
              <w:spacing w:beforeAutospacing="0" w:afterAutospacing="0"/>
              <w:jc w:val="both"/>
              <w:rPr>
                <w:rFonts w:hint="eastAsia" w:ascii="方正仿宋简体" w:hAnsi="方正仿宋简体" w:eastAsia="方正仿宋_GBK" w:cs="方正仿宋简体"/>
                <w:color w:val="auto"/>
                <w:kern w:val="0"/>
                <w:sz w:val="21"/>
                <w:szCs w:val="21"/>
                <w:lang w:val="en-US" w:eastAsia="zh-CN" w:bidi="ar-SA"/>
              </w:rPr>
            </w:pPr>
          </w:p>
        </w:tc>
        <w:tc>
          <w:tcPr>
            <w:tcW w:w="2063" w:type="dxa"/>
            <w:gridSpan w:val="2"/>
            <w:vMerge w:val="continue"/>
            <w:shd w:val="clear" w:color="auto" w:fill="auto"/>
            <w:vAlign w:val="center"/>
          </w:tcPr>
          <w:p w14:paraId="4C43F65D">
            <w:pPr>
              <w:pageBreakBefore w:val="0"/>
              <w:widowControl/>
              <w:kinsoku/>
              <w:wordWrap/>
              <w:overflowPunct/>
              <w:topLinePunct w:val="0"/>
              <w:bidi w:val="0"/>
              <w:spacing w:beforeAutospacing="0" w:afterAutospacing="0"/>
              <w:jc w:val="both"/>
              <w:rPr>
                <w:rFonts w:hint="eastAsia" w:ascii="方正仿宋简体" w:hAnsi="方正仿宋简体" w:eastAsia="方正仿宋_GBK" w:cs="方正仿宋简体"/>
                <w:color w:val="auto"/>
                <w:kern w:val="0"/>
                <w:sz w:val="21"/>
                <w:szCs w:val="21"/>
                <w:lang w:val="en-US" w:eastAsia="zh-CN" w:bidi="ar-SA"/>
              </w:rPr>
            </w:pPr>
          </w:p>
        </w:tc>
        <w:tc>
          <w:tcPr>
            <w:tcW w:w="1339" w:type="dxa"/>
            <w:vMerge w:val="continue"/>
            <w:shd w:val="clear" w:color="auto" w:fill="auto"/>
            <w:vAlign w:val="center"/>
          </w:tcPr>
          <w:p w14:paraId="134F44B5">
            <w:pPr>
              <w:pageBreakBefore w:val="0"/>
              <w:widowControl/>
              <w:kinsoku/>
              <w:wordWrap/>
              <w:overflowPunct/>
              <w:topLinePunct w:val="0"/>
              <w:bidi w:val="0"/>
              <w:spacing w:beforeAutospacing="0" w:afterAutospacing="0"/>
              <w:jc w:val="both"/>
              <w:rPr>
                <w:rFonts w:hint="eastAsia" w:ascii="方正仿宋简体" w:hAnsi="方正仿宋简体" w:eastAsia="方正仿宋_GBK" w:cs="方正仿宋简体"/>
                <w:color w:val="auto"/>
                <w:kern w:val="0"/>
                <w:sz w:val="21"/>
                <w:szCs w:val="21"/>
                <w:lang w:val="en-US" w:eastAsia="zh-CN" w:bidi="ar-SA"/>
              </w:rPr>
            </w:pPr>
          </w:p>
        </w:tc>
        <w:tc>
          <w:tcPr>
            <w:tcW w:w="1191" w:type="dxa"/>
            <w:shd w:val="clear" w:color="auto" w:fill="auto"/>
            <w:vAlign w:val="center"/>
          </w:tcPr>
          <w:p w14:paraId="170D0945">
            <w:pPr>
              <w:pageBreakBefore w:val="0"/>
              <w:widowControl/>
              <w:kinsoku/>
              <w:wordWrap/>
              <w:overflowPunct/>
              <w:topLinePunct w:val="0"/>
              <w:bidi w:val="0"/>
              <w:spacing w:beforeAutospacing="0" w:afterAutospacing="0"/>
              <w:jc w:val="center"/>
              <w:rPr>
                <w:rFonts w:hint="eastAsia" w:ascii="方正仿宋简体" w:hAnsi="方正仿宋简体" w:eastAsia="方正仿宋_GBK" w:cs="方正仿宋简体"/>
                <w:color w:val="auto"/>
                <w:sz w:val="21"/>
                <w:szCs w:val="21"/>
                <w:lang w:val="en-US" w:eastAsia="zh-CN"/>
              </w:rPr>
            </w:pPr>
            <w:r>
              <w:rPr>
                <w:rFonts w:hint="eastAsia" w:ascii="方正仿宋简体" w:hAnsi="方正仿宋简体" w:eastAsia="方正仿宋_GBK" w:cs="方正仿宋简体"/>
                <w:color w:val="auto"/>
                <w:sz w:val="21"/>
                <w:szCs w:val="21"/>
                <w:lang w:val="en-US" w:eastAsia="zh-CN"/>
              </w:rPr>
              <w:t>较重</w:t>
            </w:r>
          </w:p>
        </w:tc>
        <w:tc>
          <w:tcPr>
            <w:tcW w:w="4252" w:type="dxa"/>
            <w:vMerge w:val="continue"/>
            <w:shd w:val="clear" w:color="auto" w:fill="auto"/>
            <w:vAlign w:val="center"/>
          </w:tcPr>
          <w:p w14:paraId="0B31D802">
            <w:pPr>
              <w:pageBreakBefore w:val="0"/>
              <w:widowControl/>
              <w:kinsoku/>
              <w:wordWrap/>
              <w:overflowPunct/>
              <w:topLinePunct w:val="0"/>
              <w:bidi w:val="0"/>
              <w:spacing w:beforeAutospacing="0" w:afterAutospacing="0"/>
              <w:jc w:val="both"/>
              <w:rPr>
                <w:rFonts w:hint="eastAsia" w:ascii="方正仿宋简体" w:hAnsi="方正仿宋简体" w:eastAsia="方正仿宋简体" w:cs="方正仿宋简体"/>
                <w:color w:val="auto"/>
                <w:kern w:val="0"/>
                <w:sz w:val="21"/>
                <w:szCs w:val="21"/>
                <w:lang w:val="en-US" w:eastAsia="zh-CN" w:bidi="ar-SA"/>
              </w:rPr>
            </w:pPr>
          </w:p>
        </w:tc>
        <w:tc>
          <w:tcPr>
            <w:tcW w:w="1701" w:type="dxa"/>
            <w:shd w:val="clear" w:color="auto" w:fill="auto"/>
            <w:vAlign w:val="center"/>
          </w:tcPr>
          <w:p w14:paraId="3657A950">
            <w:pPr>
              <w:pageBreakBefore w:val="0"/>
              <w:widowControl/>
              <w:kinsoku/>
              <w:wordWrap/>
              <w:overflowPunct/>
              <w:topLinePunct w:val="0"/>
              <w:bidi w:val="0"/>
              <w:spacing w:beforeAutospacing="0" w:afterAutospacing="0"/>
              <w:jc w:val="both"/>
              <w:rPr>
                <w:rFonts w:hint="eastAsia" w:ascii="方正仿宋简体" w:hAnsi="方正仿宋简体" w:eastAsia="方正仿宋_GBK" w:cs="方正仿宋简体"/>
                <w:color w:val="auto"/>
                <w:kern w:val="0"/>
                <w:sz w:val="21"/>
                <w:szCs w:val="21"/>
                <w:lang w:val="en-US" w:eastAsia="zh-CN" w:bidi="ar-SA"/>
              </w:rPr>
            </w:pPr>
            <w:r>
              <w:rPr>
                <w:rFonts w:hint="eastAsia" w:ascii="方正仿宋简体" w:hAnsi="方正仿宋简体" w:eastAsia="方正仿宋_GBK" w:cs="方正仿宋简体"/>
                <w:color w:val="auto"/>
                <w:kern w:val="0"/>
                <w:sz w:val="21"/>
                <w:szCs w:val="21"/>
                <w:lang w:val="en-US" w:eastAsia="zh-CN" w:bidi="ar-SA"/>
              </w:rPr>
              <w:t>处五万元以上七万元以下罚款</w:t>
            </w:r>
          </w:p>
        </w:tc>
        <w:tc>
          <w:tcPr>
            <w:tcW w:w="1191" w:type="dxa"/>
            <w:vMerge w:val="continue"/>
            <w:shd w:val="clear" w:color="auto" w:fill="auto"/>
          </w:tcPr>
          <w:p w14:paraId="612C99F0">
            <w:pPr>
              <w:pageBreakBefore w:val="0"/>
              <w:widowControl/>
              <w:kinsoku/>
              <w:wordWrap/>
              <w:overflowPunct/>
              <w:topLinePunct w:val="0"/>
              <w:bidi w:val="0"/>
              <w:spacing w:beforeAutospacing="0" w:afterAutospacing="0"/>
              <w:jc w:val="both"/>
              <w:rPr>
                <w:rFonts w:hint="eastAsia" w:ascii="方正仿宋简体" w:hAnsi="方正仿宋简体" w:eastAsia="方正仿宋_GBK" w:cs="方正仿宋简体"/>
                <w:color w:val="auto"/>
                <w:kern w:val="0"/>
                <w:sz w:val="21"/>
                <w:szCs w:val="21"/>
                <w:lang w:val="en-US" w:eastAsia="zh-CN" w:bidi="ar-SA"/>
              </w:rPr>
            </w:pPr>
          </w:p>
        </w:tc>
      </w:tr>
      <w:tr w14:paraId="1BD6E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4" w:hRule="atLeast"/>
          <w:jc w:val="center"/>
        </w:trPr>
        <w:tc>
          <w:tcPr>
            <w:tcW w:w="680" w:type="dxa"/>
            <w:vMerge w:val="continue"/>
            <w:shd w:val="clear" w:color="auto" w:fill="auto"/>
            <w:vAlign w:val="center"/>
          </w:tcPr>
          <w:p w14:paraId="04205C4E">
            <w:pPr>
              <w:pageBreakBefore w:val="0"/>
              <w:widowControl/>
              <w:kinsoku/>
              <w:wordWrap/>
              <w:overflowPunct/>
              <w:topLinePunct w:val="0"/>
              <w:bidi w:val="0"/>
              <w:spacing w:beforeAutospacing="0" w:afterAutospacing="0"/>
              <w:jc w:val="center"/>
              <w:rPr>
                <w:rFonts w:hint="eastAsia" w:ascii="方正仿宋简体" w:hAnsi="方正仿宋简体" w:eastAsia="方正仿宋_GBK" w:cs="方正仿宋简体"/>
                <w:color w:val="auto"/>
                <w:kern w:val="0"/>
                <w:sz w:val="21"/>
                <w:szCs w:val="21"/>
                <w:lang w:val="en-US" w:eastAsia="zh-CN" w:bidi="ar-SA"/>
              </w:rPr>
            </w:pPr>
          </w:p>
        </w:tc>
        <w:tc>
          <w:tcPr>
            <w:tcW w:w="1166" w:type="dxa"/>
            <w:vMerge w:val="continue"/>
            <w:shd w:val="clear" w:color="auto" w:fill="auto"/>
            <w:vAlign w:val="center"/>
          </w:tcPr>
          <w:p w14:paraId="2D25D20A">
            <w:pPr>
              <w:pageBreakBefore w:val="0"/>
              <w:widowControl/>
              <w:kinsoku/>
              <w:wordWrap/>
              <w:overflowPunct/>
              <w:topLinePunct w:val="0"/>
              <w:bidi w:val="0"/>
              <w:spacing w:beforeAutospacing="0" w:afterAutospacing="0"/>
              <w:jc w:val="center"/>
              <w:rPr>
                <w:rFonts w:hint="eastAsia" w:ascii="方正仿宋简体" w:hAnsi="方正仿宋简体" w:eastAsia="方正仿宋简体" w:cs="方正仿宋简体"/>
                <w:color w:val="auto"/>
                <w:kern w:val="0"/>
                <w:sz w:val="21"/>
                <w:szCs w:val="21"/>
                <w:lang w:val="en-US" w:eastAsia="zh-CN" w:bidi="ar-SA"/>
              </w:rPr>
            </w:pPr>
          </w:p>
        </w:tc>
        <w:tc>
          <w:tcPr>
            <w:tcW w:w="1329" w:type="dxa"/>
            <w:vMerge w:val="continue"/>
            <w:shd w:val="clear" w:color="auto" w:fill="auto"/>
            <w:vAlign w:val="center"/>
          </w:tcPr>
          <w:p w14:paraId="68DBA7D9">
            <w:pPr>
              <w:pageBreakBefore w:val="0"/>
              <w:widowControl/>
              <w:kinsoku/>
              <w:wordWrap/>
              <w:overflowPunct/>
              <w:topLinePunct w:val="0"/>
              <w:bidi w:val="0"/>
              <w:spacing w:beforeAutospacing="0" w:afterAutospacing="0"/>
              <w:jc w:val="both"/>
              <w:rPr>
                <w:rFonts w:hint="eastAsia" w:ascii="方正仿宋简体" w:hAnsi="方正仿宋简体" w:eastAsia="方正仿宋_GBK" w:cs="方正仿宋简体"/>
                <w:color w:val="auto"/>
                <w:kern w:val="0"/>
                <w:sz w:val="21"/>
                <w:szCs w:val="21"/>
                <w:lang w:val="en-US" w:eastAsia="zh-CN" w:bidi="ar-SA"/>
              </w:rPr>
            </w:pPr>
          </w:p>
        </w:tc>
        <w:tc>
          <w:tcPr>
            <w:tcW w:w="2063" w:type="dxa"/>
            <w:gridSpan w:val="2"/>
            <w:vMerge w:val="continue"/>
            <w:shd w:val="clear" w:color="auto" w:fill="auto"/>
            <w:vAlign w:val="center"/>
          </w:tcPr>
          <w:p w14:paraId="2DFAB91E">
            <w:pPr>
              <w:pageBreakBefore w:val="0"/>
              <w:widowControl/>
              <w:kinsoku/>
              <w:wordWrap/>
              <w:overflowPunct/>
              <w:topLinePunct w:val="0"/>
              <w:bidi w:val="0"/>
              <w:spacing w:beforeAutospacing="0" w:afterAutospacing="0"/>
              <w:jc w:val="both"/>
              <w:rPr>
                <w:rFonts w:hint="eastAsia" w:ascii="方正仿宋简体" w:hAnsi="方正仿宋简体" w:eastAsia="方正仿宋_GBK" w:cs="方正仿宋简体"/>
                <w:color w:val="auto"/>
                <w:kern w:val="0"/>
                <w:sz w:val="21"/>
                <w:szCs w:val="21"/>
                <w:lang w:val="en-US" w:eastAsia="zh-CN" w:bidi="ar-SA"/>
              </w:rPr>
            </w:pPr>
          </w:p>
        </w:tc>
        <w:tc>
          <w:tcPr>
            <w:tcW w:w="1339" w:type="dxa"/>
            <w:vMerge w:val="continue"/>
            <w:shd w:val="clear" w:color="auto" w:fill="auto"/>
            <w:vAlign w:val="center"/>
          </w:tcPr>
          <w:p w14:paraId="70BDCA78">
            <w:pPr>
              <w:pageBreakBefore w:val="0"/>
              <w:widowControl/>
              <w:kinsoku/>
              <w:wordWrap/>
              <w:overflowPunct/>
              <w:topLinePunct w:val="0"/>
              <w:bidi w:val="0"/>
              <w:spacing w:beforeAutospacing="0" w:afterAutospacing="0"/>
              <w:jc w:val="both"/>
              <w:rPr>
                <w:rFonts w:hint="eastAsia" w:ascii="方正仿宋简体" w:hAnsi="方正仿宋简体" w:eastAsia="方正仿宋_GBK" w:cs="方正仿宋简体"/>
                <w:color w:val="auto"/>
                <w:kern w:val="0"/>
                <w:sz w:val="21"/>
                <w:szCs w:val="21"/>
                <w:lang w:val="en-US" w:eastAsia="zh-CN" w:bidi="ar-SA"/>
              </w:rPr>
            </w:pPr>
          </w:p>
        </w:tc>
        <w:tc>
          <w:tcPr>
            <w:tcW w:w="1191" w:type="dxa"/>
            <w:shd w:val="clear" w:color="auto" w:fill="auto"/>
            <w:vAlign w:val="center"/>
          </w:tcPr>
          <w:p w14:paraId="3D415424">
            <w:pPr>
              <w:pageBreakBefore w:val="0"/>
              <w:widowControl/>
              <w:kinsoku/>
              <w:wordWrap/>
              <w:overflowPunct/>
              <w:topLinePunct w:val="0"/>
              <w:bidi w:val="0"/>
              <w:spacing w:beforeAutospacing="0" w:afterAutospacing="0"/>
              <w:jc w:val="center"/>
              <w:rPr>
                <w:rFonts w:hint="eastAsia" w:ascii="方正仿宋简体" w:hAnsi="方正仿宋简体" w:eastAsia="方正仿宋_GBK" w:cs="方正仿宋简体"/>
                <w:color w:val="auto"/>
                <w:sz w:val="21"/>
                <w:szCs w:val="21"/>
                <w:lang w:val="en-US" w:eastAsia="zh-CN"/>
              </w:rPr>
            </w:pPr>
            <w:r>
              <w:rPr>
                <w:rFonts w:hint="eastAsia" w:ascii="方正仿宋简体" w:hAnsi="方正仿宋简体" w:eastAsia="方正仿宋简体" w:cs="方正仿宋简体"/>
                <w:color w:val="auto"/>
                <w:kern w:val="0"/>
                <w:sz w:val="21"/>
                <w:szCs w:val="21"/>
                <w:lang w:val="en-US" w:eastAsia="zh-CN" w:bidi="ar-SA"/>
              </w:rPr>
              <w:t>严重</w:t>
            </w:r>
          </w:p>
        </w:tc>
        <w:tc>
          <w:tcPr>
            <w:tcW w:w="4252" w:type="dxa"/>
            <w:vMerge w:val="continue"/>
            <w:shd w:val="clear" w:color="auto" w:fill="auto"/>
            <w:vAlign w:val="center"/>
          </w:tcPr>
          <w:p w14:paraId="7C41EFC1">
            <w:pPr>
              <w:pageBreakBefore w:val="0"/>
              <w:widowControl/>
              <w:kinsoku/>
              <w:wordWrap/>
              <w:overflowPunct/>
              <w:topLinePunct w:val="0"/>
              <w:bidi w:val="0"/>
              <w:spacing w:beforeAutospacing="0" w:afterAutospacing="0"/>
              <w:jc w:val="both"/>
              <w:rPr>
                <w:rFonts w:hint="eastAsia" w:ascii="方正仿宋简体" w:hAnsi="方正仿宋简体" w:eastAsia="方正仿宋简体" w:cs="方正仿宋简体"/>
                <w:color w:val="auto"/>
                <w:kern w:val="0"/>
                <w:sz w:val="21"/>
                <w:szCs w:val="21"/>
                <w:lang w:val="en-US" w:eastAsia="zh-CN" w:bidi="ar-SA"/>
              </w:rPr>
            </w:pPr>
          </w:p>
        </w:tc>
        <w:tc>
          <w:tcPr>
            <w:tcW w:w="1701" w:type="dxa"/>
            <w:shd w:val="clear" w:color="auto" w:fill="auto"/>
            <w:vAlign w:val="center"/>
          </w:tcPr>
          <w:p w14:paraId="61F83B5C">
            <w:pPr>
              <w:pageBreakBefore w:val="0"/>
              <w:widowControl/>
              <w:kinsoku/>
              <w:wordWrap/>
              <w:overflowPunct/>
              <w:topLinePunct w:val="0"/>
              <w:bidi w:val="0"/>
              <w:spacing w:beforeAutospacing="0" w:afterAutospacing="0"/>
              <w:jc w:val="both"/>
              <w:rPr>
                <w:rFonts w:hint="eastAsia" w:ascii="方正仿宋简体" w:hAnsi="方正仿宋简体" w:eastAsia="方正仿宋_GBK" w:cs="方正仿宋简体"/>
                <w:color w:val="auto"/>
                <w:kern w:val="0"/>
                <w:sz w:val="21"/>
                <w:szCs w:val="21"/>
                <w:lang w:val="en-US" w:eastAsia="zh-CN" w:bidi="ar-SA"/>
              </w:rPr>
            </w:pPr>
            <w:r>
              <w:rPr>
                <w:rFonts w:hint="eastAsia" w:ascii="方正仿宋简体" w:hAnsi="方正仿宋简体" w:eastAsia="方正仿宋_GBK" w:cs="方正仿宋简体"/>
                <w:color w:val="auto"/>
                <w:kern w:val="0"/>
                <w:sz w:val="21"/>
                <w:szCs w:val="21"/>
                <w:lang w:val="en-US" w:eastAsia="zh-CN" w:bidi="ar-SA"/>
              </w:rPr>
              <w:t>处七万元以上十万元以下罚款</w:t>
            </w:r>
          </w:p>
        </w:tc>
        <w:tc>
          <w:tcPr>
            <w:tcW w:w="1191" w:type="dxa"/>
            <w:vMerge w:val="continue"/>
            <w:shd w:val="clear" w:color="auto" w:fill="auto"/>
          </w:tcPr>
          <w:p w14:paraId="60DD4D67">
            <w:pPr>
              <w:pageBreakBefore w:val="0"/>
              <w:widowControl/>
              <w:kinsoku/>
              <w:wordWrap/>
              <w:overflowPunct/>
              <w:topLinePunct w:val="0"/>
              <w:bidi w:val="0"/>
              <w:spacing w:beforeAutospacing="0" w:afterAutospacing="0"/>
              <w:jc w:val="both"/>
              <w:rPr>
                <w:rFonts w:hint="eastAsia" w:ascii="方正仿宋简体" w:hAnsi="方正仿宋简体" w:eastAsia="方正仿宋_GBK" w:cs="方正仿宋简体"/>
                <w:color w:val="auto"/>
                <w:kern w:val="0"/>
                <w:sz w:val="21"/>
                <w:szCs w:val="21"/>
                <w:lang w:val="en-US" w:eastAsia="zh-CN" w:bidi="ar-SA"/>
              </w:rPr>
            </w:pPr>
          </w:p>
        </w:tc>
      </w:tr>
      <w:tr w14:paraId="65810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6" w:hRule="atLeast"/>
          <w:jc w:val="center"/>
        </w:trPr>
        <w:tc>
          <w:tcPr>
            <w:tcW w:w="680" w:type="dxa"/>
            <w:shd w:val="clear" w:color="auto" w:fill="auto"/>
            <w:vAlign w:val="center"/>
          </w:tcPr>
          <w:p w14:paraId="5BE25920">
            <w:pPr>
              <w:pageBreakBefore w:val="0"/>
              <w:kinsoku/>
              <w:wordWrap/>
              <w:overflowPunct/>
              <w:topLinePunct w:val="0"/>
              <w:bidi w:val="0"/>
              <w:spacing w:beforeAutospacing="0" w:afterAutospacing="0"/>
              <w:jc w:val="center"/>
              <w:rPr>
                <w:rFonts w:hint="eastAsia" w:ascii="方正仿宋简体" w:hAnsi="方正仿宋简体" w:eastAsia="方正仿宋简体" w:cs="方正仿宋简体"/>
                <w:b/>
                <w:bCs/>
                <w:color w:val="auto"/>
                <w:kern w:val="0"/>
                <w:sz w:val="21"/>
                <w:szCs w:val="21"/>
                <w:lang w:val="en-US" w:eastAsia="zh-CN" w:bidi="ar-SA"/>
              </w:rPr>
            </w:pPr>
            <w:r>
              <w:rPr>
                <w:rFonts w:hint="eastAsia" w:ascii="方正仿宋简体" w:hAnsi="方正仿宋简体" w:eastAsia="方正仿宋_GBK" w:cs="方正仿宋简体"/>
                <w:b/>
                <w:bCs/>
                <w:color w:val="auto"/>
                <w:kern w:val="0"/>
                <w:sz w:val="21"/>
                <w:szCs w:val="21"/>
                <w:lang w:val="en-US" w:eastAsia="zh-CN"/>
              </w:rPr>
              <w:t>序号</w:t>
            </w:r>
          </w:p>
        </w:tc>
        <w:tc>
          <w:tcPr>
            <w:tcW w:w="1166" w:type="dxa"/>
            <w:shd w:val="clear" w:color="auto" w:fill="auto"/>
            <w:vAlign w:val="center"/>
          </w:tcPr>
          <w:p w14:paraId="57781B78">
            <w:pPr>
              <w:pageBreakBefore w:val="0"/>
              <w:kinsoku/>
              <w:wordWrap/>
              <w:overflowPunct/>
              <w:topLinePunct w:val="0"/>
              <w:bidi w:val="0"/>
              <w:spacing w:beforeAutospacing="0" w:afterAutospacing="0"/>
              <w:jc w:val="center"/>
              <w:rPr>
                <w:rFonts w:hint="eastAsia" w:ascii="方正仿宋简体" w:hAnsi="方正仿宋简体" w:eastAsia="方正仿宋简体" w:cs="方正仿宋简体"/>
                <w:b/>
                <w:bCs/>
                <w:color w:val="auto"/>
                <w:kern w:val="0"/>
                <w:sz w:val="21"/>
                <w:szCs w:val="21"/>
                <w:lang w:val="en-US" w:eastAsia="zh-CN" w:bidi="ar-SA"/>
              </w:rPr>
            </w:pPr>
            <w:r>
              <w:rPr>
                <w:rFonts w:hint="eastAsia" w:ascii="方正仿宋简体" w:hAnsi="方正仿宋简体" w:eastAsia="方正仿宋_GBK" w:cs="方正仿宋简体"/>
                <w:b/>
                <w:bCs/>
                <w:color w:val="auto"/>
                <w:kern w:val="0"/>
                <w:sz w:val="21"/>
                <w:szCs w:val="21"/>
                <w:lang w:val="en-US" w:eastAsia="zh-CN"/>
              </w:rPr>
              <w:t>基准编号</w:t>
            </w:r>
          </w:p>
        </w:tc>
        <w:tc>
          <w:tcPr>
            <w:tcW w:w="1329" w:type="dxa"/>
            <w:shd w:val="clear" w:color="auto" w:fill="auto"/>
            <w:vAlign w:val="center"/>
          </w:tcPr>
          <w:p w14:paraId="56906ACB">
            <w:pPr>
              <w:pageBreakBefore w:val="0"/>
              <w:kinsoku/>
              <w:wordWrap/>
              <w:overflowPunct/>
              <w:topLinePunct w:val="0"/>
              <w:bidi w:val="0"/>
              <w:spacing w:beforeAutospacing="0" w:afterAutospacing="0"/>
              <w:jc w:val="center"/>
              <w:rPr>
                <w:rFonts w:hint="eastAsia" w:ascii="方正仿宋简体" w:hAnsi="方正仿宋简体" w:eastAsia="方正仿宋简体" w:cs="方正仿宋简体"/>
                <w:b/>
                <w:bCs/>
                <w:color w:val="auto"/>
                <w:kern w:val="0"/>
                <w:sz w:val="21"/>
                <w:szCs w:val="21"/>
                <w:lang w:val="en-US" w:eastAsia="zh-CN" w:bidi="ar-SA"/>
              </w:rPr>
            </w:pPr>
            <w:r>
              <w:rPr>
                <w:rFonts w:hint="eastAsia" w:ascii="方正仿宋简体" w:hAnsi="方正仿宋简体" w:eastAsia="方正仿宋_GBK" w:cs="方正仿宋简体"/>
                <w:b/>
                <w:bCs/>
                <w:color w:val="auto"/>
                <w:kern w:val="0"/>
                <w:sz w:val="21"/>
                <w:szCs w:val="21"/>
                <w:lang w:val="en-US" w:eastAsia="zh-CN"/>
              </w:rPr>
              <w:t>违法行为</w:t>
            </w:r>
          </w:p>
        </w:tc>
        <w:tc>
          <w:tcPr>
            <w:tcW w:w="2063" w:type="dxa"/>
            <w:gridSpan w:val="2"/>
            <w:shd w:val="clear" w:color="auto" w:fill="auto"/>
            <w:vAlign w:val="center"/>
          </w:tcPr>
          <w:p w14:paraId="60D65EEF">
            <w:pPr>
              <w:pageBreakBefore w:val="0"/>
              <w:kinsoku/>
              <w:wordWrap/>
              <w:overflowPunct/>
              <w:topLinePunct w:val="0"/>
              <w:bidi w:val="0"/>
              <w:spacing w:beforeAutospacing="0" w:afterAutospacing="0"/>
              <w:jc w:val="center"/>
              <w:rPr>
                <w:rFonts w:hint="eastAsia" w:ascii="方正仿宋简体" w:hAnsi="方正仿宋简体" w:eastAsia="方正仿宋简体" w:cs="方正仿宋简体"/>
                <w:b/>
                <w:bCs/>
                <w:color w:val="auto"/>
                <w:kern w:val="0"/>
                <w:sz w:val="21"/>
                <w:szCs w:val="21"/>
                <w:lang w:val="en-US" w:eastAsia="zh-CN" w:bidi="ar-SA"/>
              </w:rPr>
            </w:pPr>
            <w:r>
              <w:rPr>
                <w:rFonts w:hint="eastAsia" w:ascii="方正仿宋简体" w:hAnsi="方正仿宋简体" w:eastAsia="方正仿宋_GBK" w:cs="方正仿宋简体"/>
                <w:b/>
                <w:bCs/>
                <w:color w:val="auto"/>
                <w:kern w:val="0"/>
                <w:sz w:val="21"/>
                <w:szCs w:val="21"/>
                <w:lang w:val="en-US" w:eastAsia="zh-CN"/>
              </w:rPr>
              <w:t>违反条款</w:t>
            </w:r>
          </w:p>
        </w:tc>
        <w:tc>
          <w:tcPr>
            <w:tcW w:w="1339" w:type="dxa"/>
            <w:shd w:val="clear" w:color="auto" w:fill="auto"/>
            <w:vAlign w:val="center"/>
          </w:tcPr>
          <w:p w14:paraId="2E5AD94A">
            <w:pPr>
              <w:pageBreakBefore w:val="0"/>
              <w:kinsoku/>
              <w:wordWrap/>
              <w:overflowPunct/>
              <w:topLinePunct w:val="0"/>
              <w:bidi w:val="0"/>
              <w:spacing w:beforeAutospacing="0" w:afterAutospacing="0"/>
              <w:jc w:val="center"/>
              <w:rPr>
                <w:rFonts w:hint="eastAsia" w:ascii="方正仿宋简体" w:hAnsi="方正仿宋简体" w:eastAsia="方正仿宋简体" w:cs="方正仿宋简体"/>
                <w:b/>
                <w:bCs/>
                <w:color w:val="auto"/>
                <w:kern w:val="0"/>
                <w:sz w:val="21"/>
                <w:szCs w:val="21"/>
                <w:lang w:val="en-US" w:eastAsia="zh-CN" w:bidi="ar-SA"/>
              </w:rPr>
            </w:pPr>
            <w:r>
              <w:rPr>
                <w:rFonts w:hint="eastAsia" w:ascii="方正仿宋简体" w:hAnsi="方正仿宋简体" w:eastAsia="方正仿宋_GBK" w:cs="方正仿宋简体"/>
                <w:b/>
                <w:bCs/>
                <w:color w:val="auto"/>
                <w:kern w:val="0"/>
                <w:sz w:val="21"/>
                <w:szCs w:val="21"/>
                <w:lang w:val="en-US" w:eastAsia="zh-CN"/>
              </w:rPr>
              <w:t>处罚依据</w:t>
            </w:r>
          </w:p>
        </w:tc>
        <w:tc>
          <w:tcPr>
            <w:tcW w:w="1191" w:type="dxa"/>
            <w:shd w:val="clear" w:color="auto" w:fill="auto"/>
            <w:vAlign w:val="center"/>
          </w:tcPr>
          <w:p w14:paraId="0949B9A9">
            <w:pPr>
              <w:pageBreakBefore w:val="0"/>
              <w:kinsoku/>
              <w:wordWrap/>
              <w:overflowPunct/>
              <w:topLinePunct w:val="0"/>
              <w:bidi w:val="0"/>
              <w:spacing w:beforeAutospacing="0" w:afterAutospacing="0"/>
              <w:jc w:val="center"/>
              <w:rPr>
                <w:rFonts w:hint="eastAsia" w:ascii="方正仿宋简体" w:hAnsi="方正仿宋简体" w:eastAsia="方正仿宋简体" w:cs="方正仿宋简体"/>
                <w:b/>
                <w:bCs/>
                <w:color w:val="auto"/>
                <w:kern w:val="0"/>
                <w:sz w:val="21"/>
                <w:szCs w:val="21"/>
                <w:lang w:val="en-US" w:eastAsia="zh-CN" w:bidi="ar-SA"/>
              </w:rPr>
            </w:pPr>
            <w:r>
              <w:rPr>
                <w:rFonts w:hint="eastAsia" w:ascii="方正仿宋简体" w:hAnsi="方正仿宋简体" w:eastAsia="方正仿宋_GBK" w:cs="方正仿宋简体"/>
                <w:b/>
                <w:bCs/>
                <w:color w:val="auto"/>
                <w:kern w:val="0"/>
                <w:sz w:val="21"/>
                <w:szCs w:val="21"/>
                <w:lang w:val="en-US" w:eastAsia="zh-CN"/>
              </w:rPr>
              <w:t>裁量幅度</w:t>
            </w:r>
          </w:p>
        </w:tc>
        <w:tc>
          <w:tcPr>
            <w:tcW w:w="4252" w:type="dxa"/>
            <w:shd w:val="clear" w:color="auto" w:fill="auto"/>
            <w:vAlign w:val="center"/>
          </w:tcPr>
          <w:p w14:paraId="267B5687">
            <w:pPr>
              <w:pageBreakBefore w:val="0"/>
              <w:kinsoku/>
              <w:wordWrap/>
              <w:overflowPunct/>
              <w:topLinePunct w:val="0"/>
              <w:bidi w:val="0"/>
              <w:spacing w:beforeAutospacing="0" w:afterAutospacing="0"/>
              <w:jc w:val="center"/>
              <w:rPr>
                <w:rFonts w:hint="eastAsia" w:ascii="方正仿宋简体" w:hAnsi="方正仿宋简体" w:eastAsia="方正仿宋简体" w:cs="方正仿宋简体"/>
                <w:b/>
                <w:bCs/>
                <w:color w:val="auto"/>
                <w:kern w:val="0"/>
                <w:sz w:val="21"/>
                <w:szCs w:val="21"/>
                <w:lang w:val="en-US" w:eastAsia="zh-CN" w:bidi="ar-SA"/>
              </w:rPr>
            </w:pPr>
            <w:r>
              <w:rPr>
                <w:rFonts w:hint="eastAsia" w:ascii="方正仿宋简体" w:hAnsi="方正仿宋简体" w:eastAsia="方正仿宋_GBK" w:cs="方正仿宋简体"/>
                <w:b/>
                <w:bCs/>
                <w:color w:val="auto"/>
                <w:kern w:val="0"/>
                <w:sz w:val="21"/>
                <w:szCs w:val="21"/>
                <w:lang w:val="en-US" w:eastAsia="zh-CN"/>
              </w:rPr>
              <w:t>违法情节和后果</w:t>
            </w:r>
          </w:p>
        </w:tc>
        <w:tc>
          <w:tcPr>
            <w:tcW w:w="1701" w:type="dxa"/>
            <w:shd w:val="clear" w:color="auto" w:fill="auto"/>
            <w:vAlign w:val="center"/>
          </w:tcPr>
          <w:p w14:paraId="3C1BAA25">
            <w:pPr>
              <w:pageBreakBefore w:val="0"/>
              <w:kinsoku/>
              <w:wordWrap/>
              <w:overflowPunct/>
              <w:topLinePunct w:val="0"/>
              <w:bidi w:val="0"/>
              <w:spacing w:beforeAutospacing="0" w:afterAutospacing="0"/>
              <w:jc w:val="center"/>
              <w:rPr>
                <w:rFonts w:hint="eastAsia" w:ascii="方正仿宋简体" w:hAnsi="方正仿宋简体" w:eastAsia="方正仿宋简体" w:cs="方正仿宋简体"/>
                <w:b/>
                <w:bCs/>
                <w:color w:val="auto"/>
                <w:kern w:val="0"/>
                <w:sz w:val="21"/>
                <w:szCs w:val="21"/>
                <w:lang w:val="en-US" w:eastAsia="zh-CN" w:bidi="ar-SA"/>
              </w:rPr>
            </w:pPr>
            <w:r>
              <w:rPr>
                <w:rFonts w:hint="eastAsia" w:ascii="方正仿宋简体" w:hAnsi="方正仿宋简体" w:eastAsia="方正仿宋_GBK" w:cs="方正仿宋简体"/>
                <w:b/>
                <w:bCs/>
                <w:color w:val="auto"/>
                <w:kern w:val="0"/>
                <w:sz w:val="21"/>
                <w:szCs w:val="21"/>
                <w:lang w:val="en-US" w:eastAsia="zh-CN"/>
              </w:rPr>
              <w:t>处罚裁量基准</w:t>
            </w:r>
          </w:p>
        </w:tc>
        <w:tc>
          <w:tcPr>
            <w:tcW w:w="1191" w:type="dxa"/>
            <w:shd w:val="clear" w:color="auto" w:fill="auto"/>
            <w:vAlign w:val="center"/>
          </w:tcPr>
          <w:p w14:paraId="6825FE2D">
            <w:pPr>
              <w:pageBreakBefore w:val="0"/>
              <w:kinsoku/>
              <w:wordWrap/>
              <w:overflowPunct/>
              <w:topLinePunct w:val="0"/>
              <w:bidi w:val="0"/>
              <w:spacing w:beforeAutospacing="0" w:afterAutospacing="0"/>
              <w:jc w:val="center"/>
              <w:rPr>
                <w:rFonts w:hint="eastAsia" w:ascii="方正仿宋简体" w:hAnsi="方正仿宋简体" w:eastAsia="方正仿宋简体" w:cs="方正仿宋简体"/>
                <w:b/>
                <w:bCs/>
                <w:color w:val="auto"/>
                <w:kern w:val="0"/>
                <w:sz w:val="21"/>
                <w:szCs w:val="21"/>
                <w:lang w:val="en-US" w:eastAsia="zh-CN" w:bidi="ar-SA"/>
              </w:rPr>
            </w:pPr>
            <w:r>
              <w:rPr>
                <w:rFonts w:hint="eastAsia" w:ascii="方正仿宋简体" w:hAnsi="方正仿宋简体" w:eastAsia="方正仿宋_GBK" w:cs="方正仿宋简体"/>
                <w:b/>
                <w:bCs/>
                <w:color w:val="auto"/>
                <w:kern w:val="0"/>
                <w:sz w:val="21"/>
                <w:szCs w:val="21"/>
                <w:lang w:val="en-US" w:eastAsia="zh-CN"/>
              </w:rPr>
              <w:t>其他处理</w:t>
            </w:r>
          </w:p>
        </w:tc>
      </w:tr>
      <w:tr w14:paraId="78F69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15" w:hRule="atLeast"/>
          <w:jc w:val="center"/>
        </w:trPr>
        <w:tc>
          <w:tcPr>
            <w:tcW w:w="680" w:type="dxa"/>
            <w:vMerge w:val="restart"/>
            <w:shd w:val="clear" w:color="auto" w:fill="auto"/>
            <w:vAlign w:val="center"/>
          </w:tcPr>
          <w:p w14:paraId="05FBA838">
            <w:pPr>
              <w:pageBreakBefore w:val="0"/>
              <w:widowControl/>
              <w:kinsoku/>
              <w:wordWrap/>
              <w:overflowPunct/>
              <w:topLinePunct w:val="0"/>
              <w:bidi w:val="0"/>
              <w:spacing w:beforeAutospacing="0" w:afterAutospacing="0"/>
              <w:jc w:val="center"/>
              <w:rPr>
                <w:rFonts w:hint="eastAsia" w:ascii="方正仿宋简体" w:hAnsi="方正仿宋简体" w:eastAsia="方正仿宋简体" w:cs="方正仿宋简体"/>
                <w:color w:val="auto"/>
                <w:kern w:val="0"/>
                <w:sz w:val="21"/>
                <w:szCs w:val="21"/>
                <w:lang w:val="en-US" w:eastAsia="zh-CN" w:bidi="ar-SA"/>
              </w:rPr>
            </w:pPr>
            <w:r>
              <w:rPr>
                <w:rFonts w:hint="eastAsia" w:ascii="方正仿宋简体" w:hAnsi="方正仿宋简体" w:eastAsia="方正仿宋_GBK" w:cs="方正仿宋简体"/>
                <w:color w:val="auto"/>
                <w:kern w:val="0"/>
                <w:sz w:val="21"/>
                <w:szCs w:val="21"/>
                <w:lang w:val="en-US" w:eastAsia="zh-CN" w:bidi="ar-SA"/>
              </w:rPr>
              <w:t>2</w:t>
            </w:r>
          </w:p>
        </w:tc>
        <w:tc>
          <w:tcPr>
            <w:tcW w:w="1166" w:type="dxa"/>
            <w:vMerge w:val="restart"/>
            <w:shd w:val="clear" w:color="auto" w:fill="auto"/>
            <w:vAlign w:val="center"/>
          </w:tcPr>
          <w:p w14:paraId="1E59A7E3">
            <w:pPr>
              <w:pageBreakBefore w:val="0"/>
              <w:widowControl/>
              <w:kinsoku/>
              <w:wordWrap/>
              <w:overflowPunct/>
              <w:topLinePunct w:val="0"/>
              <w:bidi w:val="0"/>
              <w:spacing w:beforeAutospacing="0" w:afterAutospacing="0"/>
              <w:jc w:val="center"/>
              <w:rPr>
                <w:rFonts w:hint="eastAsia" w:ascii="方正仿宋简体" w:hAnsi="方正仿宋简体" w:eastAsia="方正仿宋简体" w:cs="方正仿宋简体"/>
                <w:color w:val="auto"/>
                <w:kern w:val="0"/>
                <w:sz w:val="21"/>
                <w:szCs w:val="21"/>
                <w:lang w:val="en-US" w:eastAsia="zh-CN" w:bidi="ar-SA"/>
              </w:rPr>
            </w:pPr>
          </w:p>
        </w:tc>
        <w:tc>
          <w:tcPr>
            <w:tcW w:w="1329" w:type="dxa"/>
            <w:vMerge w:val="restart"/>
            <w:shd w:val="clear" w:color="auto" w:fill="auto"/>
            <w:vAlign w:val="center"/>
          </w:tcPr>
          <w:p w14:paraId="74B01D97">
            <w:pPr>
              <w:pageBreakBefore w:val="0"/>
              <w:widowControl/>
              <w:kinsoku/>
              <w:wordWrap/>
              <w:overflowPunct/>
              <w:topLinePunct w:val="0"/>
              <w:bidi w:val="0"/>
              <w:spacing w:beforeAutospacing="0" w:afterAutospacing="0"/>
              <w:jc w:val="both"/>
              <w:rPr>
                <w:rFonts w:hint="eastAsia" w:ascii="方正仿宋简体" w:hAnsi="方正仿宋简体" w:eastAsia="方正仿宋简体" w:cs="方正仿宋简体"/>
                <w:color w:val="auto"/>
                <w:kern w:val="0"/>
                <w:sz w:val="21"/>
                <w:szCs w:val="21"/>
                <w:lang w:val="en-US" w:eastAsia="zh-CN" w:bidi="ar-SA"/>
              </w:rPr>
            </w:pPr>
            <w:r>
              <w:rPr>
                <w:rFonts w:hint="eastAsia" w:ascii="方正仿宋简体" w:hAnsi="方正仿宋简体" w:eastAsia="方正仿宋_GBK" w:cs="方正仿宋简体"/>
                <w:color w:val="auto"/>
                <w:kern w:val="0"/>
                <w:sz w:val="21"/>
                <w:szCs w:val="21"/>
                <w:lang w:val="en-US" w:eastAsia="zh-CN" w:bidi="ar-SA"/>
              </w:rPr>
              <w:t>其他建设工程验收后经依法抽查不合格，不停止使用</w:t>
            </w:r>
          </w:p>
        </w:tc>
        <w:tc>
          <w:tcPr>
            <w:tcW w:w="2063" w:type="dxa"/>
            <w:gridSpan w:val="2"/>
            <w:vMerge w:val="restart"/>
            <w:shd w:val="clear" w:color="auto" w:fill="auto"/>
            <w:vAlign w:val="center"/>
          </w:tcPr>
          <w:p w14:paraId="52F3A0F6">
            <w:pPr>
              <w:pageBreakBefore w:val="0"/>
              <w:widowControl/>
              <w:kinsoku/>
              <w:wordWrap/>
              <w:overflowPunct/>
              <w:topLinePunct w:val="0"/>
              <w:bidi w:val="0"/>
              <w:spacing w:beforeAutospacing="0" w:afterAutospacing="0"/>
              <w:jc w:val="both"/>
              <w:rPr>
                <w:rFonts w:hint="eastAsia" w:ascii="方正仿宋简体" w:hAnsi="方正仿宋简体" w:eastAsia="方正仿宋_GBK" w:cs="方正仿宋简体"/>
                <w:color w:val="auto"/>
                <w:kern w:val="0"/>
                <w:sz w:val="21"/>
                <w:szCs w:val="21"/>
                <w:lang w:val="en-US" w:eastAsia="zh-CN" w:bidi="ar-SA"/>
              </w:rPr>
            </w:pPr>
          </w:p>
          <w:p w14:paraId="479EA61D">
            <w:pPr>
              <w:pageBreakBefore w:val="0"/>
              <w:widowControl/>
              <w:kinsoku/>
              <w:wordWrap/>
              <w:overflowPunct/>
              <w:topLinePunct w:val="0"/>
              <w:bidi w:val="0"/>
              <w:spacing w:beforeAutospacing="0" w:afterAutospacing="0"/>
              <w:jc w:val="both"/>
              <w:rPr>
                <w:rFonts w:hint="eastAsia" w:ascii="方正仿宋简体" w:hAnsi="方正仿宋简体" w:eastAsia="方正仿宋_GBK" w:cs="方正仿宋简体"/>
                <w:color w:val="auto"/>
                <w:kern w:val="0"/>
                <w:sz w:val="21"/>
                <w:szCs w:val="21"/>
                <w:lang w:val="en-US" w:eastAsia="zh-CN" w:bidi="ar-SA"/>
              </w:rPr>
            </w:pPr>
          </w:p>
          <w:p w14:paraId="72338ADD">
            <w:pPr>
              <w:pageBreakBefore w:val="0"/>
              <w:widowControl/>
              <w:kinsoku/>
              <w:wordWrap/>
              <w:overflowPunct/>
              <w:topLinePunct w:val="0"/>
              <w:bidi w:val="0"/>
              <w:spacing w:beforeAutospacing="0" w:afterAutospacing="0"/>
              <w:jc w:val="both"/>
              <w:rPr>
                <w:rFonts w:hint="eastAsia" w:ascii="方正仿宋简体" w:hAnsi="方正仿宋简体" w:eastAsia="方正仿宋_GBK" w:cs="方正仿宋简体"/>
                <w:color w:val="auto"/>
                <w:kern w:val="0"/>
                <w:sz w:val="21"/>
                <w:szCs w:val="21"/>
                <w:lang w:val="en-US" w:eastAsia="zh-CN" w:bidi="ar-SA"/>
              </w:rPr>
            </w:pPr>
          </w:p>
          <w:p w14:paraId="382EC0B2">
            <w:pPr>
              <w:pageBreakBefore w:val="0"/>
              <w:widowControl/>
              <w:kinsoku/>
              <w:wordWrap/>
              <w:overflowPunct/>
              <w:topLinePunct w:val="0"/>
              <w:bidi w:val="0"/>
              <w:spacing w:beforeAutospacing="0" w:afterAutospacing="0"/>
              <w:jc w:val="both"/>
              <w:rPr>
                <w:rFonts w:hint="eastAsia" w:ascii="方正仿宋简体" w:hAnsi="方正仿宋简体" w:eastAsia="方正仿宋_GBK" w:cs="方正仿宋简体"/>
                <w:color w:val="auto"/>
                <w:kern w:val="0"/>
                <w:sz w:val="21"/>
                <w:szCs w:val="21"/>
                <w:lang w:val="en-US" w:eastAsia="zh-CN" w:bidi="ar-SA"/>
              </w:rPr>
            </w:pPr>
            <w:r>
              <w:rPr>
                <w:rFonts w:hint="eastAsia" w:ascii="方正仿宋简体" w:hAnsi="方正仿宋简体" w:eastAsia="方正仿宋_GBK" w:cs="方正仿宋简体"/>
                <w:color w:val="auto"/>
                <w:kern w:val="0"/>
                <w:sz w:val="21"/>
                <w:szCs w:val="21"/>
                <w:lang w:val="en-US" w:eastAsia="zh-CN" w:bidi="ar-SA"/>
              </w:rPr>
              <w:t>《中华人民共和国消防法》第十三条 国务院住房和城乡建设主管部门规定应当申请消防验收的建设工程竣工，建设单位应当向住房和城乡建设主管部门申请消防验收。</w:t>
            </w:r>
          </w:p>
          <w:p w14:paraId="41690C0A">
            <w:pPr>
              <w:pageBreakBefore w:val="0"/>
              <w:widowControl/>
              <w:kinsoku/>
              <w:wordWrap/>
              <w:overflowPunct/>
              <w:topLinePunct w:val="0"/>
              <w:bidi w:val="0"/>
              <w:spacing w:beforeAutospacing="0" w:afterAutospacing="0"/>
              <w:jc w:val="both"/>
              <w:rPr>
                <w:rFonts w:hint="eastAsia" w:ascii="方正仿宋简体" w:hAnsi="方正仿宋简体" w:eastAsia="方正仿宋_GBK" w:cs="方正仿宋简体"/>
                <w:color w:val="auto"/>
                <w:kern w:val="0"/>
                <w:sz w:val="21"/>
                <w:szCs w:val="21"/>
                <w:lang w:val="en-US" w:eastAsia="zh-CN" w:bidi="ar-SA"/>
              </w:rPr>
            </w:pPr>
            <w:r>
              <w:rPr>
                <w:rFonts w:hint="eastAsia" w:ascii="方正仿宋简体" w:hAnsi="方正仿宋简体" w:eastAsia="方正仿宋_GBK" w:cs="方正仿宋简体"/>
                <w:color w:val="auto"/>
                <w:kern w:val="0"/>
                <w:sz w:val="21"/>
                <w:szCs w:val="21"/>
                <w:lang w:val="en-US" w:eastAsia="zh-CN" w:bidi="ar-SA"/>
              </w:rPr>
              <w:t>前款规定以外的其他建设工程，建设单位在验收后应当报住房和城乡建设主管部门备案，住房和城乡建设主管部门应当进行抽查。</w:t>
            </w:r>
          </w:p>
          <w:p w14:paraId="0FD65243">
            <w:pPr>
              <w:pageBreakBefore w:val="0"/>
              <w:widowControl/>
              <w:kinsoku/>
              <w:wordWrap/>
              <w:overflowPunct/>
              <w:topLinePunct w:val="0"/>
              <w:bidi w:val="0"/>
              <w:spacing w:beforeAutospacing="0" w:afterAutospacing="0"/>
              <w:jc w:val="both"/>
              <w:rPr>
                <w:rFonts w:hint="eastAsia" w:ascii="方正仿宋简体" w:hAnsi="方正仿宋简体" w:eastAsia="方正仿宋_GBK" w:cs="方正仿宋简体"/>
                <w:color w:val="auto"/>
                <w:kern w:val="0"/>
                <w:sz w:val="21"/>
                <w:szCs w:val="21"/>
                <w:lang w:val="en-US" w:eastAsia="zh-CN" w:bidi="ar-SA"/>
              </w:rPr>
            </w:pPr>
            <w:r>
              <w:rPr>
                <w:rFonts w:hint="eastAsia" w:ascii="方正仿宋简体" w:hAnsi="方正仿宋简体" w:eastAsia="方正仿宋_GBK" w:cs="方正仿宋简体"/>
                <w:color w:val="auto"/>
                <w:kern w:val="0"/>
                <w:sz w:val="21"/>
                <w:szCs w:val="21"/>
                <w:lang w:val="en-US" w:eastAsia="zh-CN" w:bidi="ar-SA"/>
              </w:rPr>
              <w:t>依法应当进行消防验收的建设工程，未经消防验收或者消防验收不合格的，禁止投入使用；其他建设工程经依法抽查不合格的，应当停止使用。</w:t>
            </w:r>
          </w:p>
          <w:p w14:paraId="03926B68">
            <w:pPr>
              <w:pStyle w:val="2"/>
              <w:rPr>
                <w:rFonts w:hint="eastAsia" w:ascii="方正仿宋简体" w:hAnsi="方正仿宋简体" w:eastAsia="方正仿宋_GBK" w:cs="方正仿宋简体"/>
                <w:color w:val="auto"/>
                <w:kern w:val="0"/>
                <w:sz w:val="21"/>
                <w:szCs w:val="21"/>
                <w:lang w:val="en-US" w:eastAsia="zh-CN" w:bidi="ar-SA"/>
              </w:rPr>
            </w:pPr>
          </w:p>
          <w:p w14:paraId="70ECC97F">
            <w:pPr>
              <w:pStyle w:val="2"/>
              <w:rPr>
                <w:rFonts w:hint="eastAsia" w:ascii="方正仿宋简体" w:hAnsi="方正仿宋简体" w:eastAsia="方正仿宋_GBK" w:cs="方正仿宋简体"/>
                <w:color w:val="auto"/>
                <w:kern w:val="0"/>
                <w:sz w:val="21"/>
                <w:szCs w:val="21"/>
                <w:lang w:val="en-US" w:eastAsia="zh-CN" w:bidi="ar-SA"/>
              </w:rPr>
            </w:pPr>
          </w:p>
          <w:p w14:paraId="31EEF88F">
            <w:pPr>
              <w:pStyle w:val="2"/>
              <w:rPr>
                <w:rFonts w:hint="eastAsia" w:ascii="方正仿宋简体" w:hAnsi="方正仿宋简体" w:eastAsia="方正仿宋_GBK" w:cs="方正仿宋简体"/>
                <w:color w:val="auto"/>
                <w:kern w:val="0"/>
                <w:sz w:val="21"/>
                <w:szCs w:val="21"/>
                <w:lang w:val="en-US" w:eastAsia="zh-CN" w:bidi="ar-SA"/>
              </w:rPr>
            </w:pPr>
          </w:p>
          <w:p w14:paraId="65993481">
            <w:pPr>
              <w:pStyle w:val="2"/>
              <w:rPr>
                <w:rFonts w:hint="eastAsia" w:ascii="方正仿宋简体" w:hAnsi="方正仿宋简体" w:eastAsia="方正仿宋_GBK" w:cs="方正仿宋简体"/>
                <w:color w:val="auto"/>
                <w:kern w:val="0"/>
                <w:sz w:val="21"/>
                <w:szCs w:val="21"/>
                <w:lang w:val="en-US" w:eastAsia="zh-CN" w:bidi="ar-SA"/>
              </w:rPr>
            </w:pPr>
          </w:p>
        </w:tc>
        <w:tc>
          <w:tcPr>
            <w:tcW w:w="1339" w:type="dxa"/>
            <w:vMerge w:val="restart"/>
            <w:shd w:val="clear" w:color="auto" w:fill="auto"/>
            <w:vAlign w:val="center"/>
          </w:tcPr>
          <w:p w14:paraId="782C3EA5">
            <w:pPr>
              <w:pageBreakBefore w:val="0"/>
              <w:widowControl/>
              <w:kinsoku/>
              <w:wordWrap/>
              <w:overflowPunct/>
              <w:topLinePunct w:val="0"/>
              <w:bidi w:val="0"/>
              <w:spacing w:beforeAutospacing="0" w:afterAutospacing="0"/>
              <w:jc w:val="both"/>
              <w:rPr>
                <w:rFonts w:hint="eastAsia" w:ascii="方正仿宋简体" w:hAnsi="方正仿宋简体" w:eastAsia="方正仿宋简体" w:cs="方正仿宋简体"/>
                <w:color w:val="auto"/>
                <w:kern w:val="0"/>
                <w:sz w:val="21"/>
                <w:szCs w:val="21"/>
                <w:lang w:val="en-US" w:eastAsia="zh-CN" w:bidi="ar-SA"/>
              </w:rPr>
            </w:pPr>
            <w:r>
              <w:rPr>
                <w:rFonts w:hint="eastAsia" w:ascii="方正仿宋简体" w:hAnsi="方正仿宋简体" w:eastAsia="方正仿宋_GBK" w:cs="方正仿宋简体"/>
                <w:color w:val="auto"/>
                <w:kern w:val="0"/>
                <w:sz w:val="21"/>
                <w:szCs w:val="21"/>
                <w:lang w:val="en-US" w:eastAsia="zh-CN" w:bidi="ar-SA"/>
              </w:rPr>
              <w:t>《中华人民共和国消防法》第五十八条第一款第三项“本法第十三条规定的其他建设工程验收后经依法抽查不合格，不停止使用的”，由住房和城乡建设主管部门，责令其停止使用，并处十万元以上二十万元以下罚款</w:t>
            </w:r>
          </w:p>
        </w:tc>
        <w:tc>
          <w:tcPr>
            <w:tcW w:w="1191" w:type="dxa"/>
            <w:shd w:val="clear" w:color="auto" w:fill="auto"/>
            <w:vAlign w:val="center"/>
          </w:tcPr>
          <w:p w14:paraId="3E89F92A">
            <w:pPr>
              <w:pageBreakBefore w:val="0"/>
              <w:widowControl/>
              <w:kinsoku/>
              <w:wordWrap/>
              <w:overflowPunct/>
              <w:topLinePunct w:val="0"/>
              <w:bidi w:val="0"/>
              <w:spacing w:beforeAutospacing="0" w:afterAutospacing="0"/>
              <w:jc w:val="center"/>
              <w:rPr>
                <w:rFonts w:hint="eastAsia" w:ascii="方正仿宋简体" w:hAnsi="方正仿宋简体" w:eastAsia="方正仿宋简体" w:cs="方正仿宋简体"/>
                <w:color w:val="auto"/>
                <w:kern w:val="0"/>
                <w:sz w:val="21"/>
                <w:szCs w:val="21"/>
                <w:lang w:val="en-US" w:eastAsia="zh-CN" w:bidi="ar-SA"/>
              </w:rPr>
            </w:pPr>
            <w:r>
              <w:rPr>
                <w:rFonts w:hint="eastAsia" w:ascii="方正仿宋简体" w:hAnsi="方正仿宋简体" w:eastAsia="方正仿宋_GBK" w:cs="方正仿宋简体"/>
                <w:color w:val="auto"/>
                <w:sz w:val="21"/>
                <w:szCs w:val="21"/>
                <w:lang w:val="en-US" w:eastAsia="zh-CN"/>
              </w:rPr>
              <w:t>较轻</w:t>
            </w:r>
          </w:p>
        </w:tc>
        <w:tc>
          <w:tcPr>
            <w:tcW w:w="4252" w:type="dxa"/>
            <w:vMerge w:val="restart"/>
            <w:shd w:val="clear" w:color="auto" w:fill="auto"/>
            <w:vAlign w:val="center"/>
          </w:tcPr>
          <w:p w14:paraId="3808320A">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firstLine="420" w:firstLineChars="200"/>
              <w:jc w:val="both"/>
              <w:textAlignment w:val="auto"/>
              <w:rPr>
                <w:rFonts w:hint="eastAsia" w:ascii="方正仿宋简体" w:hAnsi="方正仿宋简体" w:eastAsia="方正仿宋_GBK" w:cs="方正仿宋简体"/>
                <w:color w:val="auto"/>
                <w:kern w:val="0"/>
                <w:sz w:val="21"/>
                <w:szCs w:val="21"/>
                <w:lang w:val="en-US" w:eastAsia="zh-CN" w:bidi="ar-SA"/>
              </w:rPr>
            </w:pPr>
            <w:bookmarkStart w:id="6" w:name="FunCunProofread43633"/>
            <w:r>
              <w:rPr>
                <w:rFonts w:hint="eastAsia" w:ascii="方正仿宋简体" w:hAnsi="方正仿宋简体" w:eastAsia="方正仿宋_GBK" w:cs="方正仿宋简体"/>
                <w:color w:val="auto"/>
                <w:kern w:val="0"/>
                <w:sz w:val="21"/>
                <w:szCs w:val="21"/>
                <w:u w:val="none" w:color="ED7D31"/>
                <w:shd w:val="clear"/>
                <w:lang w:val="en-US" w:eastAsia="zh-CN" w:bidi="ar-SA"/>
              </w:rPr>
              <w:t>（一）</w:t>
            </w:r>
            <w:bookmarkEnd w:id="6"/>
            <w:r>
              <w:rPr>
                <w:rFonts w:hint="eastAsia" w:ascii="方正仿宋简体" w:hAnsi="方正仿宋简体" w:eastAsia="方正仿宋_GBK" w:cs="方正仿宋简体"/>
                <w:color w:val="auto"/>
                <w:kern w:val="0"/>
                <w:sz w:val="21"/>
                <w:szCs w:val="21"/>
                <w:lang w:val="en-US" w:eastAsia="zh-CN" w:bidi="ar-SA"/>
              </w:rPr>
              <w:t>建筑面积不足二万平方米的体育馆、会堂；</w:t>
            </w:r>
          </w:p>
          <w:p w14:paraId="185609DA">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firstLine="420" w:firstLineChars="200"/>
              <w:jc w:val="both"/>
              <w:textAlignment w:val="auto"/>
              <w:rPr>
                <w:rFonts w:hint="eastAsia" w:ascii="方正仿宋简体" w:hAnsi="方正仿宋简体" w:eastAsia="方正仿宋_GBK" w:cs="方正仿宋简体"/>
                <w:color w:val="auto"/>
                <w:kern w:val="0"/>
                <w:sz w:val="21"/>
                <w:szCs w:val="21"/>
                <w:lang w:val="en-US" w:eastAsia="zh-CN" w:bidi="ar-SA"/>
              </w:rPr>
            </w:pPr>
            <w:bookmarkStart w:id="7" w:name="FunCunProofread43863"/>
            <w:r>
              <w:rPr>
                <w:rFonts w:hint="eastAsia" w:ascii="方正仿宋简体" w:hAnsi="方正仿宋简体" w:eastAsia="方正仿宋_GBK" w:cs="方正仿宋简体"/>
                <w:color w:val="auto"/>
                <w:kern w:val="0"/>
                <w:sz w:val="21"/>
                <w:szCs w:val="21"/>
                <w:u w:val="none" w:color="ED7D31"/>
                <w:lang w:val="en-US" w:eastAsia="zh-CN" w:bidi="ar-SA"/>
              </w:rPr>
              <w:t>（二）</w:t>
            </w:r>
            <w:bookmarkEnd w:id="7"/>
            <w:r>
              <w:rPr>
                <w:rFonts w:hint="eastAsia" w:ascii="方正仿宋简体" w:hAnsi="方正仿宋简体" w:eastAsia="方正仿宋_GBK" w:cs="方正仿宋简体"/>
                <w:color w:val="auto"/>
                <w:kern w:val="0"/>
                <w:sz w:val="21"/>
                <w:szCs w:val="21"/>
                <w:lang w:val="en-US" w:eastAsia="zh-CN" w:bidi="ar-SA"/>
              </w:rPr>
              <w:t>建筑总面积五千平方米以上、不足一万平方米的宾馆、饭店、商场、市场；</w:t>
            </w:r>
          </w:p>
          <w:p w14:paraId="4638FB6F">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firstLine="420" w:firstLineChars="200"/>
              <w:jc w:val="both"/>
              <w:textAlignment w:val="auto"/>
              <w:rPr>
                <w:rFonts w:hint="eastAsia" w:ascii="方正仿宋简体" w:hAnsi="方正仿宋简体" w:eastAsia="方正仿宋_GBK" w:cs="方正仿宋简体"/>
                <w:color w:val="auto"/>
                <w:kern w:val="0"/>
                <w:sz w:val="21"/>
                <w:szCs w:val="21"/>
                <w:lang w:val="en-US" w:eastAsia="zh-CN" w:bidi="ar-SA"/>
              </w:rPr>
            </w:pPr>
            <w:bookmarkStart w:id="8" w:name="FunCunProofread44233"/>
            <w:r>
              <w:rPr>
                <w:rFonts w:hint="eastAsia" w:ascii="方正仿宋简体" w:hAnsi="方正仿宋简体" w:eastAsia="方正仿宋_GBK" w:cs="方正仿宋简体"/>
                <w:color w:val="auto"/>
                <w:kern w:val="0"/>
                <w:sz w:val="21"/>
                <w:szCs w:val="21"/>
                <w:u w:val="none" w:color="ED7D31"/>
                <w:lang w:val="en-US" w:eastAsia="zh-CN" w:bidi="ar-SA"/>
              </w:rPr>
              <w:t>（三）</w:t>
            </w:r>
            <w:bookmarkEnd w:id="8"/>
            <w:r>
              <w:rPr>
                <w:rFonts w:hint="eastAsia" w:ascii="方正仿宋简体" w:hAnsi="方正仿宋简体" w:eastAsia="方正仿宋_GBK" w:cs="方正仿宋简体"/>
                <w:color w:val="auto"/>
                <w:kern w:val="0"/>
                <w:sz w:val="21"/>
                <w:szCs w:val="21"/>
                <w:lang w:val="en-US" w:eastAsia="zh-CN" w:bidi="ar-SA"/>
              </w:rPr>
              <w:t>国家标准规定的二类以下高层住宅建筑，高层办公楼，写字楼；</w:t>
            </w:r>
          </w:p>
          <w:p w14:paraId="5A3A02D3">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firstLine="420" w:firstLineChars="200"/>
              <w:jc w:val="both"/>
              <w:textAlignment w:val="auto"/>
              <w:rPr>
                <w:rFonts w:hint="eastAsia" w:ascii="方正仿宋简体" w:hAnsi="方正仿宋简体" w:eastAsia="方正仿宋_GBK" w:cs="方正仿宋简体"/>
                <w:color w:val="auto"/>
                <w:kern w:val="0"/>
                <w:sz w:val="21"/>
                <w:szCs w:val="21"/>
                <w:lang w:val="en-US" w:eastAsia="zh-CN" w:bidi="ar-SA"/>
              </w:rPr>
            </w:pPr>
            <w:bookmarkStart w:id="9" w:name="FunCunProofread44553"/>
            <w:r>
              <w:rPr>
                <w:rFonts w:hint="eastAsia" w:ascii="方正仿宋简体" w:hAnsi="方正仿宋简体" w:eastAsia="方正仿宋_GBK" w:cs="方正仿宋简体"/>
                <w:color w:val="auto"/>
                <w:kern w:val="0"/>
                <w:sz w:val="21"/>
                <w:szCs w:val="21"/>
                <w:u w:val="none" w:color="ED7D31"/>
                <w:lang w:val="en-US" w:eastAsia="zh-CN" w:bidi="ar-SA"/>
              </w:rPr>
              <w:t>（四）</w:t>
            </w:r>
            <w:bookmarkEnd w:id="9"/>
            <w:r>
              <w:rPr>
                <w:rFonts w:hint="eastAsia" w:ascii="方正仿宋简体" w:hAnsi="方正仿宋简体" w:eastAsia="方正仿宋_GBK" w:cs="方正仿宋简体"/>
                <w:color w:val="auto"/>
                <w:kern w:val="0"/>
                <w:sz w:val="21"/>
                <w:szCs w:val="21"/>
                <w:lang w:val="en-US" w:eastAsia="zh-CN" w:bidi="ar-SA"/>
              </w:rPr>
              <w:t>建筑总面积不足二千五百平方米的影剧院、公共图书馆的阅览室，营业性室内健身、休闲场馆；</w:t>
            </w:r>
          </w:p>
          <w:p w14:paraId="67C7C06C">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firstLine="420" w:firstLineChars="200"/>
              <w:jc w:val="both"/>
              <w:textAlignment w:val="auto"/>
              <w:rPr>
                <w:rFonts w:hint="eastAsia" w:ascii="方正仿宋简体" w:hAnsi="方正仿宋简体" w:eastAsia="方正仿宋_GBK" w:cs="方正仿宋简体"/>
                <w:color w:val="auto"/>
                <w:kern w:val="0"/>
                <w:sz w:val="21"/>
                <w:szCs w:val="21"/>
                <w:lang w:val="en-US" w:eastAsia="zh-CN" w:bidi="ar-SA"/>
              </w:rPr>
            </w:pPr>
            <w:bookmarkStart w:id="10" w:name="FunCunProofread45013"/>
            <w:r>
              <w:rPr>
                <w:rFonts w:hint="eastAsia" w:ascii="方正仿宋简体" w:hAnsi="方正仿宋简体" w:eastAsia="方正仿宋_GBK" w:cs="方正仿宋简体"/>
                <w:color w:val="auto"/>
                <w:kern w:val="0"/>
                <w:sz w:val="21"/>
                <w:szCs w:val="21"/>
                <w:u w:val="none" w:color="ED7D31"/>
                <w:lang w:val="en-US" w:eastAsia="zh-CN" w:bidi="ar-SA"/>
              </w:rPr>
              <w:t>（五）</w:t>
            </w:r>
            <w:bookmarkEnd w:id="10"/>
            <w:r>
              <w:rPr>
                <w:rFonts w:hint="eastAsia" w:ascii="方正仿宋简体" w:hAnsi="方正仿宋简体" w:eastAsia="方正仿宋_GBK" w:cs="方正仿宋简体"/>
                <w:color w:val="auto"/>
                <w:kern w:val="0"/>
                <w:sz w:val="21"/>
                <w:szCs w:val="21"/>
                <w:lang w:val="en-US" w:eastAsia="zh-CN" w:bidi="ar-SA"/>
              </w:rPr>
              <w:t>建筑总面积三万平方米以上的非劳动密集型生产车间、库房。</w:t>
            </w:r>
          </w:p>
          <w:p w14:paraId="37B2DC7A">
            <w:pPr>
              <w:pageBreakBefore w:val="0"/>
              <w:widowControl/>
              <w:kinsoku/>
              <w:wordWrap/>
              <w:overflowPunct/>
              <w:topLinePunct w:val="0"/>
              <w:bidi w:val="0"/>
              <w:spacing w:beforeAutospacing="0" w:afterAutospacing="0"/>
              <w:jc w:val="both"/>
              <w:rPr>
                <w:rFonts w:hint="eastAsia" w:ascii="方正仿宋简体" w:hAnsi="方正仿宋简体" w:eastAsia="方正仿宋简体" w:cs="方正仿宋简体"/>
                <w:color w:val="auto"/>
                <w:kern w:val="0"/>
                <w:sz w:val="21"/>
                <w:szCs w:val="21"/>
                <w:lang w:val="en-US" w:eastAsia="zh-CN" w:bidi="ar-SA"/>
              </w:rPr>
            </w:pPr>
          </w:p>
        </w:tc>
        <w:tc>
          <w:tcPr>
            <w:tcW w:w="1701" w:type="dxa"/>
            <w:vMerge w:val="restart"/>
            <w:shd w:val="clear" w:color="auto" w:fill="auto"/>
            <w:vAlign w:val="center"/>
          </w:tcPr>
          <w:p w14:paraId="28BF4A75">
            <w:pPr>
              <w:pageBreakBefore w:val="0"/>
              <w:widowControl/>
              <w:kinsoku/>
              <w:wordWrap/>
              <w:overflowPunct/>
              <w:topLinePunct w:val="0"/>
              <w:bidi w:val="0"/>
              <w:spacing w:beforeAutospacing="0" w:afterAutospacing="0"/>
              <w:jc w:val="both"/>
              <w:rPr>
                <w:rFonts w:hint="eastAsia" w:ascii="方正仿宋简体" w:hAnsi="方正仿宋简体" w:eastAsia="方正仿宋简体" w:cs="方正仿宋简体"/>
                <w:color w:val="auto"/>
                <w:kern w:val="0"/>
                <w:sz w:val="21"/>
                <w:szCs w:val="21"/>
                <w:lang w:val="en-US" w:eastAsia="zh-CN" w:bidi="ar-SA"/>
              </w:rPr>
            </w:pPr>
            <w:r>
              <w:rPr>
                <w:rFonts w:hint="eastAsia" w:ascii="方正仿宋简体" w:hAnsi="方正仿宋简体" w:eastAsia="方正仿宋_GBK" w:cs="方正仿宋简体"/>
                <w:color w:val="auto"/>
                <w:kern w:val="0"/>
                <w:sz w:val="21"/>
                <w:szCs w:val="21"/>
                <w:lang w:val="en-US" w:eastAsia="zh-CN" w:bidi="ar-SA"/>
              </w:rPr>
              <w:t>处十万元以上到十三万元以下罚款</w:t>
            </w:r>
          </w:p>
        </w:tc>
        <w:tc>
          <w:tcPr>
            <w:tcW w:w="1191" w:type="dxa"/>
            <w:vMerge w:val="restart"/>
            <w:shd w:val="clear" w:color="auto" w:fill="auto"/>
            <w:vAlign w:val="center"/>
          </w:tcPr>
          <w:p w14:paraId="798D6DD9">
            <w:pPr>
              <w:pageBreakBefore w:val="0"/>
              <w:widowControl/>
              <w:kinsoku/>
              <w:wordWrap/>
              <w:overflowPunct/>
              <w:topLinePunct w:val="0"/>
              <w:bidi w:val="0"/>
              <w:spacing w:beforeAutospacing="0" w:afterAutospacing="0"/>
              <w:jc w:val="both"/>
              <w:rPr>
                <w:rFonts w:hint="eastAsia" w:ascii="方正仿宋简体" w:hAnsi="方正仿宋简体" w:eastAsia="方正仿宋简体" w:cs="方正仿宋简体"/>
                <w:color w:val="auto"/>
                <w:kern w:val="0"/>
                <w:sz w:val="21"/>
                <w:szCs w:val="21"/>
                <w:lang w:val="en-US" w:eastAsia="zh-CN" w:bidi="ar-SA"/>
              </w:rPr>
            </w:pPr>
            <w:r>
              <w:rPr>
                <w:rFonts w:hint="eastAsia" w:ascii="方正仿宋简体" w:hAnsi="方正仿宋简体" w:eastAsia="方正仿宋_GBK" w:cs="方正仿宋简体"/>
                <w:color w:val="auto"/>
                <w:kern w:val="0"/>
                <w:sz w:val="21"/>
                <w:szCs w:val="21"/>
                <w:lang w:val="en-US" w:eastAsia="zh-CN" w:bidi="ar-SA"/>
              </w:rPr>
              <w:t>住房和城乡建设主管部门，责令其停止使用</w:t>
            </w:r>
          </w:p>
        </w:tc>
      </w:tr>
      <w:tr w14:paraId="5E752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80" w:type="dxa"/>
            <w:vMerge w:val="continue"/>
            <w:shd w:val="clear" w:color="auto" w:fill="auto"/>
            <w:vAlign w:val="center"/>
          </w:tcPr>
          <w:p w14:paraId="0431178A">
            <w:pPr>
              <w:pageBreakBefore w:val="0"/>
              <w:widowControl/>
              <w:kinsoku/>
              <w:wordWrap/>
              <w:overflowPunct/>
              <w:topLinePunct w:val="0"/>
              <w:bidi w:val="0"/>
              <w:spacing w:beforeAutospacing="0" w:afterAutospacing="0"/>
              <w:jc w:val="center"/>
              <w:rPr>
                <w:rFonts w:hint="eastAsia" w:ascii="方正仿宋简体" w:hAnsi="方正仿宋简体" w:eastAsia="方正仿宋_GBK" w:cs="方正仿宋简体"/>
                <w:color w:val="auto"/>
                <w:kern w:val="0"/>
                <w:sz w:val="21"/>
                <w:szCs w:val="21"/>
                <w:lang w:val="en-US" w:eastAsia="zh-CN" w:bidi="ar-SA"/>
              </w:rPr>
            </w:pPr>
          </w:p>
        </w:tc>
        <w:tc>
          <w:tcPr>
            <w:tcW w:w="1166" w:type="dxa"/>
            <w:vMerge w:val="continue"/>
            <w:shd w:val="clear" w:color="auto" w:fill="auto"/>
            <w:vAlign w:val="center"/>
          </w:tcPr>
          <w:p w14:paraId="19B7A879">
            <w:pPr>
              <w:pageBreakBefore w:val="0"/>
              <w:widowControl/>
              <w:kinsoku/>
              <w:wordWrap/>
              <w:overflowPunct/>
              <w:topLinePunct w:val="0"/>
              <w:bidi w:val="0"/>
              <w:spacing w:beforeAutospacing="0" w:afterAutospacing="0"/>
              <w:jc w:val="center"/>
              <w:rPr>
                <w:rFonts w:hint="eastAsia" w:ascii="方正仿宋简体" w:hAnsi="方正仿宋简体" w:eastAsia="方正仿宋简体" w:cs="方正仿宋简体"/>
                <w:color w:val="auto"/>
                <w:kern w:val="0"/>
                <w:sz w:val="21"/>
                <w:szCs w:val="21"/>
                <w:lang w:val="en-US" w:eastAsia="zh-CN" w:bidi="ar-SA"/>
              </w:rPr>
            </w:pPr>
          </w:p>
        </w:tc>
        <w:tc>
          <w:tcPr>
            <w:tcW w:w="1329" w:type="dxa"/>
            <w:vMerge w:val="continue"/>
            <w:shd w:val="clear" w:color="auto" w:fill="auto"/>
            <w:vAlign w:val="center"/>
          </w:tcPr>
          <w:p w14:paraId="1565ACE9">
            <w:pPr>
              <w:pageBreakBefore w:val="0"/>
              <w:widowControl/>
              <w:kinsoku/>
              <w:wordWrap/>
              <w:overflowPunct/>
              <w:topLinePunct w:val="0"/>
              <w:bidi w:val="0"/>
              <w:spacing w:beforeAutospacing="0" w:afterAutospacing="0"/>
              <w:jc w:val="both"/>
              <w:rPr>
                <w:rFonts w:hint="eastAsia" w:ascii="方正仿宋简体" w:hAnsi="方正仿宋简体" w:eastAsia="方正仿宋_GBK" w:cs="方正仿宋简体"/>
                <w:color w:val="auto"/>
                <w:kern w:val="0"/>
                <w:sz w:val="21"/>
                <w:szCs w:val="21"/>
                <w:lang w:val="en-US" w:eastAsia="zh-CN" w:bidi="ar-SA"/>
              </w:rPr>
            </w:pPr>
          </w:p>
        </w:tc>
        <w:tc>
          <w:tcPr>
            <w:tcW w:w="2063" w:type="dxa"/>
            <w:gridSpan w:val="2"/>
            <w:vMerge w:val="continue"/>
            <w:shd w:val="clear" w:color="auto" w:fill="auto"/>
            <w:vAlign w:val="center"/>
          </w:tcPr>
          <w:p w14:paraId="33099C6A">
            <w:pPr>
              <w:pageBreakBefore w:val="0"/>
              <w:widowControl/>
              <w:kinsoku/>
              <w:wordWrap/>
              <w:overflowPunct/>
              <w:topLinePunct w:val="0"/>
              <w:bidi w:val="0"/>
              <w:spacing w:beforeAutospacing="0" w:afterAutospacing="0"/>
              <w:jc w:val="both"/>
              <w:rPr>
                <w:rFonts w:hint="eastAsia" w:ascii="方正仿宋简体" w:hAnsi="方正仿宋简体" w:eastAsia="方正仿宋_GBK" w:cs="方正仿宋简体"/>
                <w:color w:val="auto"/>
                <w:kern w:val="0"/>
                <w:sz w:val="21"/>
                <w:szCs w:val="21"/>
                <w:lang w:val="en-US" w:eastAsia="zh-CN" w:bidi="ar-SA"/>
              </w:rPr>
            </w:pPr>
          </w:p>
        </w:tc>
        <w:tc>
          <w:tcPr>
            <w:tcW w:w="1339" w:type="dxa"/>
            <w:vMerge w:val="continue"/>
            <w:shd w:val="clear" w:color="auto" w:fill="auto"/>
            <w:vAlign w:val="center"/>
          </w:tcPr>
          <w:p w14:paraId="108F1BCF">
            <w:pPr>
              <w:pageBreakBefore w:val="0"/>
              <w:widowControl/>
              <w:kinsoku/>
              <w:wordWrap/>
              <w:overflowPunct/>
              <w:topLinePunct w:val="0"/>
              <w:bidi w:val="0"/>
              <w:spacing w:beforeAutospacing="0" w:afterAutospacing="0"/>
              <w:jc w:val="both"/>
              <w:rPr>
                <w:rFonts w:hint="eastAsia" w:ascii="方正仿宋简体" w:hAnsi="方正仿宋简体" w:eastAsia="方正仿宋_GBK" w:cs="方正仿宋简体"/>
                <w:color w:val="auto"/>
                <w:kern w:val="0"/>
                <w:sz w:val="21"/>
                <w:szCs w:val="21"/>
                <w:lang w:val="en-US" w:eastAsia="zh-CN" w:bidi="ar-SA"/>
              </w:rPr>
            </w:pPr>
          </w:p>
        </w:tc>
        <w:tc>
          <w:tcPr>
            <w:tcW w:w="1191" w:type="dxa"/>
            <w:vMerge w:val="restart"/>
            <w:shd w:val="clear" w:color="auto" w:fill="auto"/>
            <w:vAlign w:val="center"/>
          </w:tcPr>
          <w:p w14:paraId="4914F9E1">
            <w:pPr>
              <w:pageBreakBefore w:val="0"/>
              <w:widowControl/>
              <w:kinsoku/>
              <w:wordWrap/>
              <w:overflowPunct/>
              <w:topLinePunct w:val="0"/>
              <w:bidi w:val="0"/>
              <w:spacing w:beforeAutospacing="0" w:afterAutospacing="0"/>
              <w:jc w:val="center"/>
              <w:rPr>
                <w:rFonts w:hint="eastAsia" w:ascii="方正仿宋简体" w:hAnsi="方正仿宋简体" w:eastAsia="方正仿宋_GBK" w:cs="方正仿宋简体"/>
                <w:color w:val="auto"/>
                <w:sz w:val="21"/>
                <w:szCs w:val="21"/>
                <w:lang w:val="en-US" w:eastAsia="zh-CN"/>
              </w:rPr>
            </w:pPr>
            <w:r>
              <w:rPr>
                <w:rFonts w:hint="eastAsia" w:ascii="方正仿宋简体" w:hAnsi="方正仿宋简体" w:eastAsia="方正仿宋_GBK" w:cs="方正仿宋简体"/>
                <w:color w:val="auto"/>
                <w:sz w:val="21"/>
                <w:szCs w:val="21"/>
                <w:lang w:val="en-US" w:eastAsia="zh-CN"/>
              </w:rPr>
              <w:t>较重</w:t>
            </w:r>
          </w:p>
        </w:tc>
        <w:tc>
          <w:tcPr>
            <w:tcW w:w="4252" w:type="dxa"/>
            <w:vMerge w:val="continue"/>
            <w:shd w:val="clear" w:color="auto" w:fill="auto"/>
            <w:vAlign w:val="center"/>
          </w:tcPr>
          <w:p w14:paraId="0E48EE5E">
            <w:pPr>
              <w:pageBreakBefore w:val="0"/>
              <w:widowControl/>
              <w:kinsoku/>
              <w:wordWrap/>
              <w:overflowPunct/>
              <w:topLinePunct w:val="0"/>
              <w:bidi w:val="0"/>
              <w:spacing w:beforeAutospacing="0" w:afterAutospacing="0"/>
              <w:jc w:val="both"/>
              <w:rPr>
                <w:rFonts w:hint="eastAsia" w:ascii="方正仿宋简体" w:hAnsi="方正仿宋简体" w:eastAsia="方正仿宋简体" w:cs="方正仿宋简体"/>
                <w:color w:val="auto"/>
                <w:kern w:val="0"/>
                <w:sz w:val="21"/>
                <w:szCs w:val="21"/>
                <w:lang w:val="en-US" w:eastAsia="zh-CN" w:bidi="ar-SA"/>
              </w:rPr>
            </w:pPr>
          </w:p>
        </w:tc>
        <w:tc>
          <w:tcPr>
            <w:tcW w:w="1701" w:type="dxa"/>
            <w:vMerge w:val="continue"/>
            <w:shd w:val="clear" w:color="auto" w:fill="auto"/>
            <w:vAlign w:val="center"/>
          </w:tcPr>
          <w:p w14:paraId="0197562F">
            <w:pPr>
              <w:pageBreakBefore w:val="0"/>
              <w:widowControl/>
              <w:kinsoku/>
              <w:wordWrap/>
              <w:overflowPunct/>
              <w:topLinePunct w:val="0"/>
              <w:bidi w:val="0"/>
              <w:spacing w:beforeAutospacing="0" w:afterAutospacing="0"/>
              <w:jc w:val="both"/>
              <w:rPr>
                <w:rFonts w:hint="eastAsia" w:ascii="方正仿宋简体" w:hAnsi="方正仿宋简体" w:eastAsia="方正仿宋_GBK" w:cs="方正仿宋简体"/>
                <w:color w:val="auto"/>
                <w:kern w:val="0"/>
                <w:sz w:val="21"/>
                <w:szCs w:val="21"/>
                <w:lang w:val="en-US" w:eastAsia="zh-CN" w:bidi="ar-SA"/>
              </w:rPr>
            </w:pPr>
          </w:p>
        </w:tc>
        <w:tc>
          <w:tcPr>
            <w:tcW w:w="1191" w:type="dxa"/>
            <w:vMerge w:val="continue"/>
            <w:shd w:val="clear" w:color="auto" w:fill="auto"/>
            <w:vAlign w:val="center"/>
          </w:tcPr>
          <w:p w14:paraId="4184B185">
            <w:pPr>
              <w:pageBreakBefore w:val="0"/>
              <w:widowControl/>
              <w:kinsoku/>
              <w:wordWrap/>
              <w:overflowPunct/>
              <w:topLinePunct w:val="0"/>
              <w:bidi w:val="0"/>
              <w:spacing w:beforeAutospacing="0" w:afterAutospacing="0"/>
              <w:jc w:val="both"/>
              <w:rPr>
                <w:rFonts w:hint="eastAsia" w:ascii="方正仿宋简体" w:hAnsi="方正仿宋简体" w:eastAsia="方正仿宋_GBK" w:cs="方正仿宋简体"/>
                <w:color w:val="auto"/>
                <w:kern w:val="0"/>
                <w:sz w:val="21"/>
                <w:szCs w:val="21"/>
                <w:lang w:val="en-US" w:eastAsia="zh-CN" w:bidi="ar-SA"/>
              </w:rPr>
            </w:pPr>
          </w:p>
        </w:tc>
      </w:tr>
      <w:tr w14:paraId="7B9A6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1" w:hRule="atLeast"/>
          <w:jc w:val="center"/>
        </w:trPr>
        <w:tc>
          <w:tcPr>
            <w:tcW w:w="680" w:type="dxa"/>
            <w:vMerge w:val="continue"/>
            <w:shd w:val="clear" w:color="auto" w:fill="auto"/>
            <w:vAlign w:val="center"/>
          </w:tcPr>
          <w:p w14:paraId="3F4A25EE">
            <w:pPr>
              <w:pageBreakBefore w:val="0"/>
              <w:widowControl/>
              <w:kinsoku/>
              <w:wordWrap/>
              <w:overflowPunct/>
              <w:topLinePunct w:val="0"/>
              <w:bidi w:val="0"/>
              <w:spacing w:beforeAutospacing="0" w:afterAutospacing="0"/>
              <w:jc w:val="center"/>
              <w:rPr>
                <w:rFonts w:hint="eastAsia" w:ascii="方正仿宋简体" w:hAnsi="方正仿宋简体" w:eastAsia="方正仿宋_GBK" w:cs="方正仿宋简体"/>
                <w:color w:val="auto"/>
                <w:kern w:val="0"/>
                <w:sz w:val="21"/>
                <w:szCs w:val="21"/>
                <w:lang w:val="en-US" w:eastAsia="zh-CN" w:bidi="ar-SA"/>
              </w:rPr>
            </w:pPr>
          </w:p>
        </w:tc>
        <w:tc>
          <w:tcPr>
            <w:tcW w:w="1166" w:type="dxa"/>
            <w:vMerge w:val="continue"/>
            <w:shd w:val="clear" w:color="auto" w:fill="auto"/>
            <w:vAlign w:val="center"/>
          </w:tcPr>
          <w:p w14:paraId="4E94E701">
            <w:pPr>
              <w:pageBreakBefore w:val="0"/>
              <w:widowControl/>
              <w:kinsoku/>
              <w:wordWrap/>
              <w:overflowPunct/>
              <w:topLinePunct w:val="0"/>
              <w:bidi w:val="0"/>
              <w:spacing w:beforeAutospacing="0" w:afterAutospacing="0"/>
              <w:jc w:val="center"/>
              <w:rPr>
                <w:rFonts w:hint="eastAsia" w:ascii="方正仿宋简体" w:hAnsi="方正仿宋简体" w:eastAsia="方正仿宋简体" w:cs="方正仿宋简体"/>
                <w:color w:val="auto"/>
                <w:kern w:val="0"/>
                <w:sz w:val="21"/>
                <w:szCs w:val="21"/>
                <w:lang w:val="en-US" w:eastAsia="zh-CN" w:bidi="ar-SA"/>
              </w:rPr>
            </w:pPr>
          </w:p>
        </w:tc>
        <w:tc>
          <w:tcPr>
            <w:tcW w:w="1329" w:type="dxa"/>
            <w:vMerge w:val="continue"/>
            <w:shd w:val="clear" w:color="auto" w:fill="auto"/>
            <w:vAlign w:val="center"/>
          </w:tcPr>
          <w:p w14:paraId="7985DCC9">
            <w:pPr>
              <w:pageBreakBefore w:val="0"/>
              <w:widowControl/>
              <w:kinsoku/>
              <w:wordWrap/>
              <w:overflowPunct/>
              <w:topLinePunct w:val="0"/>
              <w:bidi w:val="0"/>
              <w:spacing w:beforeAutospacing="0" w:afterAutospacing="0"/>
              <w:jc w:val="both"/>
              <w:rPr>
                <w:rFonts w:hint="eastAsia" w:ascii="方正仿宋简体" w:hAnsi="方正仿宋简体" w:eastAsia="方正仿宋_GBK" w:cs="方正仿宋简体"/>
                <w:color w:val="auto"/>
                <w:kern w:val="0"/>
                <w:sz w:val="21"/>
                <w:szCs w:val="21"/>
                <w:lang w:val="en-US" w:eastAsia="zh-CN" w:bidi="ar-SA"/>
              </w:rPr>
            </w:pPr>
          </w:p>
        </w:tc>
        <w:tc>
          <w:tcPr>
            <w:tcW w:w="2063" w:type="dxa"/>
            <w:gridSpan w:val="2"/>
            <w:vMerge w:val="continue"/>
            <w:shd w:val="clear" w:color="auto" w:fill="auto"/>
            <w:vAlign w:val="center"/>
          </w:tcPr>
          <w:p w14:paraId="13FC917B">
            <w:pPr>
              <w:pageBreakBefore w:val="0"/>
              <w:widowControl/>
              <w:kinsoku/>
              <w:wordWrap/>
              <w:overflowPunct/>
              <w:topLinePunct w:val="0"/>
              <w:bidi w:val="0"/>
              <w:spacing w:beforeAutospacing="0" w:afterAutospacing="0"/>
              <w:jc w:val="both"/>
              <w:rPr>
                <w:rFonts w:hint="eastAsia" w:ascii="方正仿宋简体" w:hAnsi="方正仿宋简体" w:eastAsia="方正仿宋_GBK" w:cs="方正仿宋简体"/>
                <w:color w:val="auto"/>
                <w:kern w:val="0"/>
                <w:sz w:val="21"/>
                <w:szCs w:val="21"/>
                <w:lang w:val="en-US" w:eastAsia="zh-CN" w:bidi="ar-SA"/>
              </w:rPr>
            </w:pPr>
          </w:p>
        </w:tc>
        <w:tc>
          <w:tcPr>
            <w:tcW w:w="1339" w:type="dxa"/>
            <w:vMerge w:val="continue"/>
            <w:shd w:val="clear" w:color="auto" w:fill="auto"/>
            <w:vAlign w:val="center"/>
          </w:tcPr>
          <w:p w14:paraId="38B24E9D">
            <w:pPr>
              <w:pageBreakBefore w:val="0"/>
              <w:widowControl/>
              <w:kinsoku/>
              <w:wordWrap/>
              <w:overflowPunct/>
              <w:topLinePunct w:val="0"/>
              <w:bidi w:val="0"/>
              <w:spacing w:beforeAutospacing="0" w:afterAutospacing="0"/>
              <w:jc w:val="both"/>
              <w:rPr>
                <w:rFonts w:hint="eastAsia" w:ascii="方正仿宋简体" w:hAnsi="方正仿宋简体" w:eastAsia="方正仿宋_GBK" w:cs="方正仿宋简体"/>
                <w:color w:val="auto"/>
                <w:kern w:val="0"/>
                <w:sz w:val="21"/>
                <w:szCs w:val="21"/>
                <w:lang w:val="en-US" w:eastAsia="zh-CN" w:bidi="ar-SA"/>
              </w:rPr>
            </w:pPr>
          </w:p>
        </w:tc>
        <w:tc>
          <w:tcPr>
            <w:tcW w:w="1191" w:type="dxa"/>
            <w:vMerge w:val="continue"/>
            <w:shd w:val="clear" w:color="auto" w:fill="auto"/>
            <w:vAlign w:val="center"/>
          </w:tcPr>
          <w:p w14:paraId="338CF17E">
            <w:pPr>
              <w:pageBreakBefore w:val="0"/>
              <w:widowControl/>
              <w:kinsoku/>
              <w:wordWrap/>
              <w:overflowPunct/>
              <w:topLinePunct w:val="0"/>
              <w:bidi w:val="0"/>
              <w:spacing w:beforeAutospacing="0" w:afterAutospacing="0"/>
              <w:jc w:val="center"/>
              <w:rPr>
                <w:rFonts w:hint="eastAsia" w:ascii="方正仿宋简体" w:hAnsi="方正仿宋简体" w:eastAsia="方正仿宋_GBK" w:cs="方正仿宋简体"/>
                <w:color w:val="auto"/>
                <w:sz w:val="21"/>
                <w:szCs w:val="21"/>
                <w:lang w:val="en-US" w:eastAsia="zh-CN"/>
              </w:rPr>
            </w:pPr>
          </w:p>
        </w:tc>
        <w:tc>
          <w:tcPr>
            <w:tcW w:w="4252" w:type="dxa"/>
            <w:vMerge w:val="continue"/>
            <w:shd w:val="clear" w:color="auto" w:fill="auto"/>
            <w:vAlign w:val="center"/>
          </w:tcPr>
          <w:p w14:paraId="3DF153A8">
            <w:pPr>
              <w:pageBreakBefore w:val="0"/>
              <w:widowControl/>
              <w:kinsoku/>
              <w:wordWrap/>
              <w:overflowPunct/>
              <w:topLinePunct w:val="0"/>
              <w:bidi w:val="0"/>
              <w:spacing w:beforeAutospacing="0" w:afterAutospacing="0"/>
              <w:jc w:val="both"/>
              <w:rPr>
                <w:rFonts w:hint="eastAsia" w:ascii="方正仿宋简体" w:hAnsi="方正仿宋简体" w:eastAsia="方正仿宋简体" w:cs="方正仿宋简体"/>
                <w:color w:val="auto"/>
                <w:kern w:val="0"/>
                <w:sz w:val="21"/>
                <w:szCs w:val="21"/>
                <w:lang w:val="en-US" w:eastAsia="zh-CN" w:bidi="ar-SA"/>
              </w:rPr>
            </w:pPr>
          </w:p>
        </w:tc>
        <w:tc>
          <w:tcPr>
            <w:tcW w:w="1701" w:type="dxa"/>
            <w:shd w:val="clear" w:color="auto" w:fill="auto"/>
            <w:vAlign w:val="center"/>
          </w:tcPr>
          <w:p w14:paraId="1688934E">
            <w:pPr>
              <w:pageBreakBefore w:val="0"/>
              <w:widowControl/>
              <w:kinsoku/>
              <w:wordWrap/>
              <w:overflowPunct/>
              <w:topLinePunct w:val="0"/>
              <w:bidi w:val="0"/>
              <w:spacing w:beforeAutospacing="0" w:afterAutospacing="0"/>
              <w:jc w:val="both"/>
              <w:rPr>
                <w:rFonts w:hint="eastAsia" w:ascii="方正仿宋简体" w:hAnsi="方正仿宋简体" w:eastAsia="方正仿宋_GBK" w:cs="方正仿宋简体"/>
                <w:color w:val="auto"/>
                <w:kern w:val="0"/>
                <w:sz w:val="21"/>
                <w:szCs w:val="21"/>
                <w:lang w:val="en-US" w:eastAsia="zh-CN" w:bidi="ar-SA"/>
              </w:rPr>
            </w:pPr>
            <w:r>
              <w:rPr>
                <w:rFonts w:hint="eastAsia" w:ascii="方正仿宋简体" w:hAnsi="方正仿宋简体" w:eastAsia="方正仿宋_GBK" w:cs="方正仿宋简体"/>
                <w:color w:val="auto"/>
                <w:kern w:val="0"/>
                <w:sz w:val="21"/>
                <w:szCs w:val="21"/>
                <w:lang w:val="en-US" w:eastAsia="zh-CN" w:bidi="ar-SA"/>
              </w:rPr>
              <w:t>处十三万元以上十六万元以下罚款</w:t>
            </w:r>
          </w:p>
        </w:tc>
        <w:tc>
          <w:tcPr>
            <w:tcW w:w="1191" w:type="dxa"/>
            <w:vMerge w:val="continue"/>
            <w:shd w:val="clear" w:color="auto" w:fill="auto"/>
            <w:vAlign w:val="center"/>
          </w:tcPr>
          <w:p w14:paraId="7122EEC4">
            <w:pPr>
              <w:pageBreakBefore w:val="0"/>
              <w:widowControl/>
              <w:kinsoku/>
              <w:wordWrap/>
              <w:overflowPunct/>
              <w:topLinePunct w:val="0"/>
              <w:bidi w:val="0"/>
              <w:spacing w:beforeAutospacing="0" w:afterAutospacing="0"/>
              <w:jc w:val="both"/>
              <w:rPr>
                <w:rFonts w:hint="eastAsia" w:ascii="方正仿宋简体" w:hAnsi="方正仿宋简体" w:eastAsia="方正仿宋_GBK" w:cs="方正仿宋简体"/>
                <w:color w:val="auto"/>
                <w:kern w:val="0"/>
                <w:sz w:val="21"/>
                <w:szCs w:val="21"/>
                <w:lang w:val="en-US" w:eastAsia="zh-CN" w:bidi="ar-SA"/>
              </w:rPr>
            </w:pPr>
          </w:p>
        </w:tc>
      </w:tr>
      <w:tr w14:paraId="7F299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91" w:hRule="atLeast"/>
          <w:jc w:val="center"/>
        </w:trPr>
        <w:tc>
          <w:tcPr>
            <w:tcW w:w="680" w:type="dxa"/>
            <w:vMerge w:val="continue"/>
            <w:shd w:val="clear" w:color="auto" w:fill="auto"/>
            <w:vAlign w:val="center"/>
          </w:tcPr>
          <w:p w14:paraId="423BE84F">
            <w:pPr>
              <w:pageBreakBefore w:val="0"/>
              <w:widowControl/>
              <w:kinsoku/>
              <w:wordWrap/>
              <w:overflowPunct/>
              <w:topLinePunct w:val="0"/>
              <w:bidi w:val="0"/>
              <w:spacing w:beforeAutospacing="0" w:afterAutospacing="0"/>
              <w:jc w:val="center"/>
              <w:rPr>
                <w:rFonts w:hint="eastAsia" w:ascii="方正仿宋简体" w:hAnsi="方正仿宋简体" w:eastAsia="方正仿宋_GBK" w:cs="方正仿宋简体"/>
                <w:color w:val="auto"/>
                <w:kern w:val="0"/>
                <w:sz w:val="21"/>
                <w:szCs w:val="21"/>
                <w:lang w:val="en-US" w:eastAsia="zh-CN" w:bidi="ar-SA"/>
              </w:rPr>
            </w:pPr>
          </w:p>
        </w:tc>
        <w:tc>
          <w:tcPr>
            <w:tcW w:w="1166" w:type="dxa"/>
            <w:vMerge w:val="continue"/>
            <w:shd w:val="clear" w:color="auto" w:fill="auto"/>
            <w:vAlign w:val="center"/>
          </w:tcPr>
          <w:p w14:paraId="6B596B5F">
            <w:pPr>
              <w:pageBreakBefore w:val="0"/>
              <w:widowControl/>
              <w:kinsoku/>
              <w:wordWrap/>
              <w:overflowPunct/>
              <w:topLinePunct w:val="0"/>
              <w:bidi w:val="0"/>
              <w:spacing w:beforeAutospacing="0" w:afterAutospacing="0"/>
              <w:jc w:val="center"/>
              <w:rPr>
                <w:rFonts w:hint="eastAsia" w:ascii="方正仿宋简体" w:hAnsi="方正仿宋简体" w:eastAsia="方正仿宋简体" w:cs="方正仿宋简体"/>
                <w:color w:val="auto"/>
                <w:kern w:val="0"/>
                <w:sz w:val="21"/>
                <w:szCs w:val="21"/>
                <w:lang w:val="en-US" w:eastAsia="zh-CN" w:bidi="ar-SA"/>
              </w:rPr>
            </w:pPr>
          </w:p>
        </w:tc>
        <w:tc>
          <w:tcPr>
            <w:tcW w:w="1329" w:type="dxa"/>
            <w:vMerge w:val="continue"/>
            <w:shd w:val="clear" w:color="auto" w:fill="auto"/>
            <w:vAlign w:val="center"/>
          </w:tcPr>
          <w:p w14:paraId="316CE2D7">
            <w:pPr>
              <w:pageBreakBefore w:val="0"/>
              <w:widowControl/>
              <w:kinsoku/>
              <w:wordWrap/>
              <w:overflowPunct/>
              <w:topLinePunct w:val="0"/>
              <w:bidi w:val="0"/>
              <w:spacing w:beforeAutospacing="0" w:afterAutospacing="0"/>
              <w:jc w:val="both"/>
              <w:rPr>
                <w:rFonts w:hint="eastAsia" w:ascii="方正仿宋简体" w:hAnsi="方正仿宋简体" w:eastAsia="方正仿宋_GBK" w:cs="方正仿宋简体"/>
                <w:color w:val="auto"/>
                <w:kern w:val="0"/>
                <w:sz w:val="21"/>
                <w:szCs w:val="21"/>
                <w:lang w:val="en-US" w:eastAsia="zh-CN" w:bidi="ar-SA"/>
              </w:rPr>
            </w:pPr>
          </w:p>
        </w:tc>
        <w:tc>
          <w:tcPr>
            <w:tcW w:w="2063" w:type="dxa"/>
            <w:gridSpan w:val="2"/>
            <w:vMerge w:val="continue"/>
            <w:shd w:val="clear" w:color="auto" w:fill="auto"/>
            <w:vAlign w:val="center"/>
          </w:tcPr>
          <w:p w14:paraId="4F393AB6">
            <w:pPr>
              <w:pageBreakBefore w:val="0"/>
              <w:widowControl/>
              <w:kinsoku/>
              <w:wordWrap/>
              <w:overflowPunct/>
              <w:topLinePunct w:val="0"/>
              <w:bidi w:val="0"/>
              <w:spacing w:beforeAutospacing="0" w:afterAutospacing="0"/>
              <w:jc w:val="both"/>
              <w:rPr>
                <w:rFonts w:hint="eastAsia" w:ascii="方正仿宋简体" w:hAnsi="方正仿宋简体" w:eastAsia="方正仿宋_GBK" w:cs="方正仿宋简体"/>
                <w:color w:val="auto"/>
                <w:kern w:val="0"/>
                <w:sz w:val="21"/>
                <w:szCs w:val="21"/>
                <w:lang w:val="en-US" w:eastAsia="zh-CN" w:bidi="ar-SA"/>
              </w:rPr>
            </w:pPr>
          </w:p>
        </w:tc>
        <w:tc>
          <w:tcPr>
            <w:tcW w:w="1339" w:type="dxa"/>
            <w:vMerge w:val="continue"/>
            <w:shd w:val="clear" w:color="auto" w:fill="auto"/>
            <w:vAlign w:val="center"/>
          </w:tcPr>
          <w:p w14:paraId="22CE22B8">
            <w:pPr>
              <w:pageBreakBefore w:val="0"/>
              <w:widowControl/>
              <w:kinsoku/>
              <w:wordWrap/>
              <w:overflowPunct/>
              <w:topLinePunct w:val="0"/>
              <w:bidi w:val="0"/>
              <w:spacing w:beforeAutospacing="0" w:afterAutospacing="0"/>
              <w:jc w:val="both"/>
              <w:rPr>
                <w:rFonts w:hint="eastAsia" w:ascii="方正仿宋简体" w:hAnsi="方正仿宋简体" w:eastAsia="方正仿宋_GBK" w:cs="方正仿宋简体"/>
                <w:color w:val="auto"/>
                <w:kern w:val="0"/>
                <w:sz w:val="21"/>
                <w:szCs w:val="21"/>
                <w:lang w:val="en-US" w:eastAsia="zh-CN" w:bidi="ar-SA"/>
              </w:rPr>
            </w:pPr>
          </w:p>
        </w:tc>
        <w:tc>
          <w:tcPr>
            <w:tcW w:w="1191" w:type="dxa"/>
            <w:shd w:val="clear" w:color="auto" w:fill="auto"/>
            <w:vAlign w:val="center"/>
          </w:tcPr>
          <w:p w14:paraId="11FDA086">
            <w:pPr>
              <w:pageBreakBefore w:val="0"/>
              <w:widowControl/>
              <w:kinsoku/>
              <w:wordWrap/>
              <w:overflowPunct/>
              <w:topLinePunct w:val="0"/>
              <w:bidi w:val="0"/>
              <w:spacing w:beforeAutospacing="0" w:afterAutospacing="0"/>
              <w:jc w:val="center"/>
              <w:rPr>
                <w:rFonts w:hint="eastAsia" w:ascii="方正仿宋简体" w:hAnsi="方正仿宋简体" w:eastAsia="方正仿宋_GBK" w:cs="方正仿宋简体"/>
                <w:color w:val="auto"/>
                <w:sz w:val="21"/>
                <w:szCs w:val="21"/>
                <w:lang w:val="en-US" w:eastAsia="zh-CN"/>
              </w:rPr>
            </w:pPr>
            <w:r>
              <w:rPr>
                <w:rFonts w:hint="eastAsia" w:ascii="方正仿宋简体" w:hAnsi="方正仿宋简体" w:eastAsia="方正仿宋_GBK" w:cs="方正仿宋简体"/>
                <w:color w:val="auto"/>
                <w:sz w:val="21"/>
                <w:szCs w:val="21"/>
                <w:lang w:val="en-US" w:eastAsia="zh-CN"/>
              </w:rPr>
              <w:t>严重</w:t>
            </w:r>
          </w:p>
        </w:tc>
        <w:tc>
          <w:tcPr>
            <w:tcW w:w="4252" w:type="dxa"/>
            <w:vMerge w:val="continue"/>
            <w:shd w:val="clear" w:color="auto" w:fill="auto"/>
            <w:vAlign w:val="center"/>
          </w:tcPr>
          <w:p w14:paraId="556C3541">
            <w:pPr>
              <w:pageBreakBefore w:val="0"/>
              <w:widowControl/>
              <w:kinsoku/>
              <w:wordWrap/>
              <w:overflowPunct/>
              <w:topLinePunct w:val="0"/>
              <w:bidi w:val="0"/>
              <w:spacing w:beforeAutospacing="0" w:afterAutospacing="0"/>
              <w:jc w:val="both"/>
              <w:rPr>
                <w:rFonts w:hint="eastAsia" w:ascii="方正仿宋简体" w:hAnsi="方正仿宋简体" w:eastAsia="方正仿宋简体" w:cs="方正仿宋简体"/>
                <w:color w:val="auto"/>
                <w:kern w:val="0"/>
                <w:sz w:val="21"/>
                <w:szCs w:val="21"/>
                <w:lang w:val="en-US" w:eastAsia="zh-CN" w:bidi="ar-SA"/>
              </w:rPr>
            </w:pPr>
          </w:p>
        </w:tc>
        <w:tc>
          <w:tcPr>
            <w:tcW w:w="1701" w:type="dxa"/>
            <w:shd w:val="clear" w:color="auto" w:fill="auto"/>
            <w:vAlign w:val="center"/>
          </w:tcPr>
          <w:p w14:paraId="44459C3F">
            <w:pPr>
              <w:pageBreakBefore w:val="0"/>
              <w:widowControl/>
              <w:kinsoku/>
              <w:wordWrap/>
              <w:overflowPunct/>
              <w:topLinePunct w:val="0"/>
              <w:bidi w:val="0"/>
              <w:spacing w:beforeAutospacing="0" w:afterAutospacing="0"/>
              <w:jc w:val="both"/>
              <w:rPr>
                <w:rFonts w:hint="eastAsia" w:ascii="方正仿宋简体" w:hAnsi="方正仿宋简体" w:eastAsia="方正仿宋_GBK" w:cs="方正仿宋简体"/>
                <w:color w:val="auto"/>
                <w:kern w:val="0"/>
                <w:sz w:val="21"/>
                <w:szCs w:val="21"/>
                <w:lang w:val="en-US" w:eastAsia="zh-CN" w:bidi="ar-SA"/>
              </w:rPr>
            </w:pPr>
            <w:r>
              <w:rPr>
                <w:rFonts w:hint="eastAsia" w:ascii="方正仿宋简体" w:hAnsi="方正仿宋简体" w:eastAsia="方正仿宋_GBK" w:cs="方正仿宋简体"/>
                <w:color w:val="auto"/>
                <w:kern w:val="0"/>
                <w:sz w:val="21"/>
                <w:szCs w:val="21"/>
                <w:lang w:val="en-US" w:eastAsia="zh-CN" w:bidi="ar-SA"/>
              </w:rPr>
              <w:t>处十六万元以上二十万元以下罚款</w:t>
            </w:r>
          </w:p>
        </w:tc>
        <w:tc>
          <w:tcPr>
            <w:tcW w:w="1191" w:type="dxa"/>
            <w:vMerge w:val="continue"/>
            <w:shd w:val="clear" w:color="auto" w:fill="auto"/>
            <w:vAlign w:val="center"/>
          </w:tcPr>
          <w:p w14:paraId="1ABC2E89">
            <w:pPr>
              <w:pageBreakBefore w:val="0"/>
              <w:widowControl/>
              <w:kinsoku/>
              <w:wordWrap/>
              <w:overflowPunct/>
              <w:topLinePunct w:val="0"/>
              <w:bidi w:val="0"/>
              <w:spacing w:beforeAutospacing="0" w:afterAutospacing="0"/>
              <w:jc w:val="both"/>
              <w:rPr>
                <w:rFonts w:hint="eastAsia" w:ascii="方正仿宋简体" w:hAnsi="方正仿宋简体" w:eastAsia="方正仿宋_GBK" w:cs="方正仿宋简体"/>
                <w:color w:val="auto"/>
                <w:kern w:val="0"/>
                <w:sz w:val="21"/>
                <w:szCs w:val="21"/>
                <w:lang w:val="en-US" w:eastAsia="zh-CN" w:bidi="ar-SA"/>
              </w:rPr>
            </w:pPr>
          </w:p>
        </w:tc>
      </w:tr>
      <w:tr w14:paraId="5EB4C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6" w:hRule="atLeast"/>
          <w:jc w:val="center"/>
        </w:trPr>
        <w:tc>
          <w:tcPr>
            <w:tcW w:w="680" w:type="dxa"/>
            <w:shd w:val="clear" w:color="auto" w:fill="auto"/>
            <w:vAlign w:val="center"/>
          </w:tcPr>
          <w:p w14:paraId="21B4CBF7">
            <w:pPr>
              <w:pageBreakBefore w:val="0"/>
              <w:kinsoku/>
              <w:wordWrap/>
              <w:overflowPunct/>
              <w:topLinePunct w:val="0"/>
              <w:bidi w:val="0"/>
              <w:spacing w:beforeAutospacing="0" w:afterAutospacing="0"/>
              <w:jc w:val="center"/>
              <w:rPr>
                <w:rFonts w:hint="eastAsia" w:ascii="方正仿宋简体" w:hAnsi="方正仿宋简体" w:eastAsia="方正仿宋简体" w:cs="方正仿宋简体"/>
                <w:b/>
                <w:bCs/>
                <w:color w:val="auto"/>
                <w:kern w:val="0"/>
                <w:sz w:val="21"/>
                <w:szCs w:val="21"/>
                <w:lang w:val="en-US" w:eastAsia="zh-CN" w:bidi="ar-SA"/>
              </w:rPr>
            </w:pPr>
            <w:r>
              <w:rPr>
                <w:rFonts w:hint="eastAsia" w:ascii="方正仿宋简体" w:hAnsi="方正仿宋简体" w:eastAsia="方正仿宋_GBK" w:cs="方正仿宋简体"/>
                <w:b/>
                <w:bCs/>
                <w:color w:val="auto"/>
                <w:kern w:val="0"/>
                <w:sz w:val="21"/>
                <w:szCs w:val="21"/>
                <w:lang w:val="en-US" w:eastAsia="zh-CN"/>
              </w:rPr>
              <w:t>序号</w:t>
            </w:r>
          </w:p>
        </w:tc>
        <w:tc>
          <w:tcPr>
            <w:tcW w:w="1166" w:type="dxa"/>
            <w:shd w:val="clear" w:color="auto" w:fill="auto"/>
            <w:vAlign w:val="center"/>
          </w:tcPr>
          <w:p w14:paraId="7E879E50">
            <w:pPr>
              <w:pageBreakBefore w:val="0"/>
              <w:kinsoku/>
              <w:wordWrap/>
              <w:overflowPunct/>
              <w:topLinePunct w:val="0"/>
              <w:bidi w:val="0"/>
              <w:spacing w:beforeAutospacing="0" w:afterAutospacing="0"/>
              <w:jc w:val="center"/>
              <w:rPr>
                <w:rFonts w:hint="eastAsia" w:ascii="方正仿宋简体" w:hAnsi="方正仿宋简体" w:eastAsia="方正仿宋简体" w:cs="方正仿宋简体"/>
                <w:b/>
                <w:bCs/>
                <w:color w:val="auto"/>
                <w:kern w:val="0"/>
                <w:sz w:val="21"/>
                <w:szCs w:val="21"/>
                <w:lang w:val="en-US" w:eastAsia="zh-CN" w:bidi="ar-SA"/>
              </w:rPr>
            </w:pPr>
            <w:r>
              <w:rPr>
                <w:rFonts w:hint="eastAsia" w:ascii="方正仿宋简体" w:hAnsi="方正仿宋简体" w:eastAsia="方正仿宋_GBK" w:cs="方正仿宋简体"/>
                <w:b/>
                <w:bCs/>
                <w:color w:val="auto"/>
                <w:kern w:val="0"/>
                <w:sz w:val="21"/>
                <w:szCs w:val="21"/>
                <w:lang w:val="en-US" w:eastAsia="zh-CN"/>
              </w:rPr>
              <w:t>基准编号</w:t>
            </w:r>
          </w:p>
        </w:tc>
        <w:tc>
          <w:tcPr>
            <w:tcW w:w="1329" w:type="dxa"/>
            <w:shd w:val="clear" w:color="auto" w:fill="auto"/>
            <w:vAlign w:val="center"/>
          </w:tcPr>
          <w:p w14:paraId="60EFDE48">
            <w:pPr>
              <w:pageBreakBefore w:val="0"/>
              <w:kinsoku/>
              <w:wordWrap/>
              <w:overflowPunct/>
              <w:topLinePunct w:val="0"/>
              <w:bidi w:val="0"/>
              <w:spacing w:beforeAutospacing="0" w:afterAutospacing="0"/>
              <w:jc w:val="center"/>
              <w:rPr>
                <w:rFonts w:hint="eastAsia" w:ascii="方正仿宋简体" w:hAnsi="方正仿宋简体" w:eastAsia="方正仿宋简体" w:cs="方正仿宋简体"/>
                <w:b/>
                <w:bCs/>
                <w:color w:val="auto"/>
                <w:kern w:val="0"/>
                <w:sz w:val="21"/>
                <w:szCs w:val="21"/>
                <w:lang w:val="en-US" w:eastAsia="zh-CN" w:bidi="ar-SA"/>
              </w:rPr>
            </w:pPr>
            <w:r>
              <w:rPr>
                <w:rFonts w:hint="eastAsia" w:ascii="方正仿宋简体" w:hAnsi="方正仿宋简体" w:eastAsia="方正仿宋_GBK" w:cs="方正仿宋简体"/>
                <w:b/>
                <w:bCs/>
                <w:color w:val="auto"/>
                <w:kern w:val="0"/>
                <w:sz w:val="21"/>
                <w:szCs w:val="21"/>
                <w:lang w:val="en-US" w:eastAsia="zh-CN"/>
              </w:rPr>
              <w:t>违法行为</w:t>
            </w:r>
          </w:p>
        </w:tc>
        <w:tc>
          <w:tcPr>
            <w:tcW w:w="2063" w:type="dxa"/>
            <w:gridSpan w:val="2"/>
            <w:shd w:val="clear" w:color="auto" w:fill="auto"/>
            <w:vAlign w:val="center"/>
          </w:tcPr>
          <w:p w14:paraId="3A2BDA1C">
            <w:pPr>
              <w:pageBreakBefore w:val="0"/>
              <w:kinsoku/>
              <w:wordWrap/>
              <w:overflowPunct/>
              <w:topLinePunct w:val="0"/>
              <w:bidi w:val="0"/>
              <w:spacing w:beforeAutospacing="0" w:afterAutospacing="0"/>
              <w:jc w:val="center"/>
              <w:rPr>
                <w:rFonts w:hint="eastAsia" w:ascii="方正仿宋简体" w:hAnsi="方正仿宋简体" w:eastAsia="方正仿宋简体" w:cs="方正仿宋简体"/>
                <w:b/>
                <w:bCs/>
                <w:color w:val="auto"/>
                <w:kern w:val="0"/>
                <w:sz w:val="21"/>
                <w:szCs w:val="21"/>
                <w:lang w:val="en-US" w:eastAsia="zh-CN" w:bidi="ar-SA"/>
              </w:rPr>
            </w:pPr>
            <w:r>
              <w:rPr>
                <w:rFonts w:hint="eastAsia" w:ascii="方正仿宋简体" w:hAnsi="方正仿宋简体" w:eastAsia="方正仿宋_GBK" w:cs="方正仿宋简体"/>
                <w:b/>
                <w:bCs/>
                <w:color w:val="auto"/>
                <w:kern w:val="0"/>
                <w:sz w:val="21"/>
                <w:szCs w:val="21"/>
                <w:lang w:val="en-US" w:eastAsia="zh-CN"/>
              </w:rPr>
              <w:t>违反条款</w:t>
            </w:r>
          </w:p>
        </w:tc>
        <w:tc>
          <w:tcPr>
            <w:tcW w:w="1339" w:type="dxa"/>
            <w:shd w:val="clear" w:color="auto" w:fill="auto"/>
            <w:vAlign w:val="center"/>
          </w:tcPr>
          <w:p w14:paraId="6C3AC2D2">
            <w:pPr>
              <w:pageBreakBefore w:val="0"/>
              <w:kinsoku/>
              <w:wordWrap/>
              <w:overflowPunct/>
              <w:topLinePunct w:val="0"/>
              <w:bidi w:val="0"/>
              <w:spacing w:beforeAutospacing="0" w:afterAutospacing="0"/>
              <w:jc w:val="center"/>
              <w:rPr>
                <w:rFonts w:hint="eastAsia" w:ascii="方正仿宋简体" w:hAnsi="方正仿宋简体" w:eastAsia="方正仿宋简体" w:cs="方正仿宋简体"/>
                <w:b/>
                <w:bCs/>
                <w:color w:val="auto"/>
                <w:kern w:val="0"/>
                <w:sz w:val="21"/>
                <w:szCs w:val="21"/>
                <w:lang w:val="en-US" w:eastAsia="zh-CN" w:bidi="ar-SA"/>
              </w:rPr>
            </w:pPr>
            <w:r>
              <w:rPr>
                <w:rFonts w:hint="eastAsia" w:ascii="方正仿宋简体" w:hAnsi="方正仿宋简体" w:eastAsia="方正仿宋_GBK" w:cs="方正仿宋简体"/>
                <w:b/>
                <w:bCs/>
                <w:color w:val="auto"/>
                <w:kern w:val="0"/>
                <w:sz w:val="21"/>
                <w:szCs w:val="21"/>
                <w:lang w:val="en-US" w:eastAsia="zh-CN"/>
              </w:rPr>
              <w:t>处罚依据</w:t>
            </w:r>
          </w:p>
        </w:tc>
        <w:tc>
          <w:tcPr>
            <w:tcW w:w="1191" w:type="dxa"/>
            <w:shd w:val="clear" w:color="auto" w:fill="auto"/>
            <w:vAlign w:val="center"/>
          </w:tcPr>
          <w:p w14:paraId="598AC492">
            <w:pPr>
              <w:pageBreakBefore w:val="0"/>
              <w:kinsoku/>
              <w:wordWrap/>
              <w:overflowPunct/>
              <w:topLinePunct w:val="0"/>
              <w:bidi w:val="0"/>
              <w:spacing w:beforeAutospacing="0" w:afterAutospacing="0"/>
              <w:jc w:val="center"/>
              <w:rPr>
                <w:rFonts w:hint="eastAsia" w:ascii="方正仿宋简体" w:hAnsi="方正仿宋简体" w:eastAsia="方正仿宋简体" w:cs="方正仿宋简体"/>
                <w:b/>
                <w:bCs/>
                <w:color w:val="auto"/>
                <w:kern w:val="0"/>
                <w:sz w:val="21"/>
                <w:szCs w:val="21"/>
                <w:lang w:val="en-US" w:eastAsia="zh-CN" w:bidi="ar-SA"/>
              </w:rPr>
            </w:pPr>
            <w:r>
              <w:rPr>
                <w:rFonts w:hint="eastAsia" w:ascii="方正仿宋简体" w:hAnsi="方正仿宋简体" w:eastAsia="方正仿宋_GBK" w:cs="方正仿宋简体"/>
                <w:b/>
                <w:bCs/>
                <w:color w:val="auto"/>
                <w:kern w:val="0"/>
                <w:sz w:val="21"/>
                <w:szCs w:val="21"/>
                <w:lang w:val="en-US" w:eastAsia="zh-CN"/>
              </w:rPr>
              <w:t>裁量幅度</w:t>
            </w:r>
          </w:p>
        </w:tc>
        <w:tc>
          <w:tcPr>
            <w:tcW w:w="4252" w:type="dxa"/>
            <w:shd w:val="clear" w:color="auto" w:fill="auto"/>
            <w:vAlign w:val="center"/>
          </w:tcPr>
          <w:p w14:paraId="345594E2">
            <w:pPr>
              <w:pageBreakBefore w:val="0"/>
              <w:kinsoku/>
              <w:wordWrap/>
              <w:overflowPunct/>
              <w:topLinePunct w:val="0"/>
              <w:bidi w:val="0"/>
              <w:spacing w:beforeAutospacing="0" w:afterAutospacing="0"/>
              <w:jc w:val="center"/>
              <w:rPr>
                <w:rFonts w:hint="eastAsia" w:ascii="方正仿宋简体" w:hAnsi="方正仿宋简体" w:eastAsia="方正仿宋简体" w:cs="方正仿宋简体"/>
                <w:b/>
                <w:bCs/>
                <w:color w:val="auto"/>
                <w:kern w:val="0"/>
                <w:sz w:val="21"/>
                <w:szCs w:val="21"/>
                <w:lang w:val="en-US" w:eastAsia="zh-CN" w:bidi="ar-SA"/>
              </w:rPr>
            </w:pPr>
            <w:r>
              <w:rPr>
                <w:rFonts w:hint="eastAsia" w:ascii="方正仿宋简体" w:hAnsi="方正仿宋简体" w:eastAsia="方正仿宋_GBK" w:cs="方正仿宋简体"/>
                <w:b/>
                <w:bCs/>
                <w:color w:val="auto"/>
                <w:kern w:val="0"/>
                <w:sz w:val="21"/>
                <w:szCs w:val="21"/>
                <w:lang w:val="en-US" w:eastAsia="zh-CN"/>
              </w:rPr>
              <w:t>违法情节和后果</w:t>
            </w:r>
          </w:p>
        </w:tc>
        <w:tc>
          <w:tcPr>
            <w:tcW w:w="1701" w:type="dxa"/>
            <w:shd w:val="clear" w:color="auto" w:fill="auto"/>
            <w:vAlign w:val="center"/>
          </w:tcPr>
          <w:p w14:paraId="67B863C7">
            <w:pPr>
              <w:pageBreakBefore w:val="0"/>
              <w:kinsoku/>
              <w:wordWrap/>
              <w:overflowPunct/>
              <w:topLinePunct w:val="0"/>
              <w:bidi w:val="0"/>
              <w:spacing w:beforeAutospacing="0" w:afterAutospacing="0"/>
              <w:jc w:val="center"/>
              <w:rPr>
                <w:rFonts w:hint="eastAsia" w:ascii="方正仿宋简体" w:hAnsi="方正仿宋简体" w:eastAsia="方正仿宋简体" w:cs="方正仿宋简体"/>
                <w:b/>
                <w:bCs/>
                <w:color w:val="auto"/>
                <w:kern w:val="0"/>
                <w:sz w:val="21"/>
                <w:szCs w:val="21"/>
                <w:lang w:val="en-US" w:eastAsia="zh-CN" w:bidi="ar-SA"/>
              </w:rPr>
            </w:pPr>
            <w:r>
              <w:rPr>
                <w:rFonts w:hint="eastAsia" w:ascii="方正仿宋简体" w:hAnsi="方正仿宋简体" w:eastAsia="方正仿宋_GBK" w:cs="方正仿宋简体"/>
                <w:b/>
                <w:bCs/>
                <w:color w:val="auto"/>
                <w:kern w:val="0"/>
                <w:sz w:val="21"/>
                <w:szCs w:val="21"/>
                <w:lang w:val="en-US" w:eastAsia="zh-CN"/>
              </w:rPr>
              <w:t>处罚裁量基准</w:t>
            </w:r>
          </w:p>
        </w:tc>
        <w:tc>
          <w:tcPr>
            <w:tcW w:w="1191" w:type="dxa"/>
            <w:shd w:val="clear" w:color="auto" w:fill="auto"/>
            <w:vAlign w:val="center"/>
          </w:tcPr>
          <w:p w14:paraId="44C49DEE">
            <w:pPr>
              <w:pageBreakBefore w:val="0"/>
              <w:kinsoku/>
              <w:wordWrap/>
              <w:overflowPunct/>
              <w:topLinePunct w:val="0"/>
              <w:bidi w:val="0"/>
              <w:spacing w:beforeAutospacing="0" w:afterAutospacing="0"/>
              <w:jc w:val="center"/>
              <w:rPr>
                <w:rFonts w:hint="eastAsia" w:ascii="方正仿宋简体" w:hAnsi="方正仿宋简体" w:eastAsia="方正仿宋简体" w:cs="方正仿宋简体"/>
                <w:b/>
                <w:bCs/>
                <w:color w:val="auto"/>
                <w:kern w:val="0"/>
                <w:sz w:val="21"/>
                <w:szCs w:val="21"/>
                <w:lang w:val="en-US" w:eastAsia="zh-CN" w:bidi="ar-SA"/>
              </w:rPr>
            </w:pPr>
            <w:r>
              <w:rPr>
                <w:rFonts w:hint="eastAsia" w:ascii="方正仿宋简体" w:hAnsi="方正仿宋简体" w:eastAsia="方正仿宋_GBK" w:cs="方正仿宋简体"/>
                <w:b/>
                <w:bCs/>
                <w:color w:val="auto"/>
                <w:kern w:val="0"/>
                <w:sz w:val="21"/>
                <w:szCs w:val="21"/>
                <w:lang w:val="en-US" w:eastAsia="zh-CN"/>
              </w:rPr>
              <w:t>其他处理</w:t>
            </w:r>
          </w:p>
        </w:tc>
      </w:tr>
      <w:tr w14:paraId="1EC10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203" w:hRule="atLeast"/>
          <w:jc w:val="center"/>
        </w:trPr>
        <w:tc>
          <w:tcPr>
            <w:tcW w:w="680" w:type="dxa"/>
            <w:shd w:val="clear" w:color="auto" w:fill="auto"/>
            <w:vAlign w:val="center"/>
          </w:tcPr>
          <w:p w14:paraId="12BD5861">
            <w:pPr>
              <w:pageBreakBefore w:val="0"/>
              <w:widowControl/>
              <w:kinsoku/>
              <w:wordWrap/>
              <w:overflowPunct/>
              <w:topLinePunct w:val="0"/>
              <w:bidi w:val="0"/>
              <w:spacing w:beforeAutospacing="0" w:afterAutospacing="0"/>
              <w:jc w:val="center"/>
              <w:rPr>
                <w:rFonts w:hint="default" w:ascii="方正仿宋简体" w:hAnsi="方正仿宋简体" w:eastAsia="方正仿宋简体" w:cs="方正仿宋简体"/>
                <w:color w:val="auto"/>
                <w:kern w:val="0"/>
                <w:sz w:val="21"/>
                <w:szCs w:val="21"/>
                <w:lang w:val="en-US" w:eastAsia="zh-CN" w:bidi="ar-SA"/>
              </w:rPr>
            </w:pPr>
            <w:r>
              <w:rPr>
                <w:rFonts w:hint="eastAsia" w:ascii="方正仿宋简体" w:hAnsi="方正仿宋简体" w:eastAsia="方正仿宋简体" w:cs="方正仿宋简体"/>
                <w:color w:val="auto"/>
                <w:kern w:val="0"/>
                <w:sz w:val="21"/>
                <w:szCs w:val="21"/>
                <w:lang w:val="en-US" w:eastAsia="zh-CN" w:bidi="ar-SA"/>
              </w:rPr>
              <w:t>3</w:t>
            </w:r>
          </w:p>
        </w:tc>
        <w:tc>
          <w:tcPr>
            <w:tcW w:w="1166" w:type="dxa"/>
            <w:shd w:val="clear" w:color="auto" w:fill="auto"/>
            <w:vAlign w:val="center"/>
          </w:tcPr>
          <w:p w14:paraId="31853AAE">
            <w:pPr>
              <w:pageBreakBefore w:val="0"/>
              <w:widowControl/>
              <w:kinsoku/>
              <w:wordWrap/>
              <w:overflowPunct/>
              <w:topLinePunct w:val="0"/>
              <w:bidi w:val="0"/>
              <w:spacing w:beforeAutospacing="0" w:afterAutospacing="0"/>
              <w:jc w:val="center"/>
              <w:rPr>
                <w:rFonts w:hint="eastAsia" w:ascii="方正仿宋简体" w:hAnsi="方正仿宋简体" w:eastAsia="方正仿宋简体" w:cs="方正仿宋简体"/>
                <w:color w:val="auto"/>
                <w:kern w:val="0"/>
                <w:sz w:val="21"/>
                <w:szCs w:val="21"/>
                <w:lang w:val="en-US" w:eastAsia="zh-CN" w:bidi="ar-SA"/>
              </w:rPr>
            </w:pPr>
          </w:p>
        </w:tc>
        <w:tc>
          <w:tcPr>
            <w:tcW w:w="1329" w:type="dxa"/>
            <w:shd w:val="clear" w:color="auto" w:fill="auto"/>
            <w:vAlign w:val="center"/>
          </w:tcPr>
          <w:p w14:paraId="7DD33046">
            <w:pPr>
              <w:pageBreakBefore w:val="0"/>
              <w:widowControl/>
              <w:kinsoku/>
              <w:wordWrap/>
              <w:overflowPunct/>
              <w:topLinePunct w:val="0"/>
              <w:bidi w:val="0"/>
              <w:spacing w:beforeAutospacing="0" w:afterAutospacing="0"/>
              <w:jc w:val="both"/>
              <w:rPr>
                <w:rFonts w:hint="eastAsia" w:ascii="方正仿宋简体" w:hAnsi="方正仿宋简体" w:eastAsia="方正仿宋简体" w:cs="方正仿宋简体"/>
                <w:color w:val="auto"/>
                <w:kern w:val="0"/>
                <w:sz w:val="21"/>
                <w:szCs w:val="21"/>
                <w:lang w:val="en-US" w:eastAsia="zh-CN" w:bidi="ar-SA"/>
              </w:rPr>
            </w:pPr>
            <w:r>
              <w:rPr>
                <w:rFonts w:hint="eastAsia" w:ascii="方正仿宋简体" w:hAnsi="方正仿宋简体" w:eastAsia="方正仿宋_GBK" w:cs="方正仿宋简体"/>
                <w:color w:val="auto"/>
                <w:kern w:val="0"/>
                <w:sz w:val="21"/>
                <w:szCs w:val="21"/>
                <w:lang w:val="en-US" w:eastAsia="zh-CN" w:bidi="ar-SA"/>
              </w:rPr>
              <w:t>建设单位未依照本法规定在验收后报住房和城乡建设主管部门备案</w:t>
            </w:r>
          </w:p>
        </w:tc>
        <w:tc>
          <w:tcPr>
            <w:tcW w:w="2063" w:type="dxa"/>
            <w:gridSpan w:val="2"/>
            <w:shd w:val="clear" w:color="auto" w:fill="auto"/>
            <w:vAlign w:val="center"/>
          </w:tcPr>
          <w:p w14:paraId="06B7C0BC">
            <w:pPr>
              <w:pageBreakBefore w:val="0"/>
              <w:widowControl/>
              <w:kinsoku/>
              <w:wordWrap/>
              <w:overflowPunct/>
              <w:topLinePunct w:val="0"/>
              <w:bidi w:val="0"/>
              <w:spacing w:beforeAutospacing="0" w:afterAutospacing="0"/>
              <w:jc w:val="both"/>
              <w:rPr>
                <w:rFonts w:hint="eastAsia" w:ascii="方正仿宋简体" w:hAnsi="方正仿宋简体" w:eastAsia="方正仿宋_GBK" w:cs="方正仿宋简体"/>
                <w:color w:val="auto"/>
                <w:kern w:val="0"/>
                <w:sz w:val="21"/>
                <w:szCs w:val="21"/>
                <w:lang w:val="en-US" w:eastAsia="zh-CN" w:bidi="ar-SA"/>
              </w:rPr>
            </w:pPr>
            <w:r>
              <w:rPr>
                <w:rFonts w:hint="eastAsia" w:ascii="方正仿宋简体" w:hAnsi="方正仿宋简体" w:eastAsia="方正仿宋_GBK" w:cs="方正仿宋简体"/>
                <w:color w:val="auto"/>
                <w:kern w:val="0"/>
                <w:sz w:val="21"/>
                <w:szCs w:val="21"/>
                <w:lang w:val="en-US" w:eastAsia="zh-CN" w:bidi="ar-SA"/>
              </w:rPr>
              <w:t>《中华人民共和国消防法》第十三条 国务院住房和城乡建设主管部门规定应当申请消防验收的建设工程竣工，建设单位应当向住房和城乡建设主管部门申请消防验收。</w:t>
            </w:r>
          </w:p>
          <w:p w14:paraId="0D7A3510">
            <w:pPr>
              <w:pageBreakBefore w:val="0"/>
              <w:widowControl/>
              <w:kinsoku/>
              <w:wordWrap/>
              <w:overflowPunct/>
              <w:topLinePunct w:val="0"/>
              <w:bidi w:val="0"/>
              <w:spacing w:beforeAutospacing="0" w:afterAutospacing="0"/>
              <w:jc w:val="both"/>
              <w:rPr>
                <w:rFonts w:hint="eastAsia" w:ascii="方正仿宋简体" w:hAnsi="方正仿宋简体" w:eastAsia="方正仿宋_GBK" w:cs="方正仿宋简体"/>
                <w:color w:val="auto"/>
                <w:kern w:val="0"/>
                <w:sz w:val="21"/>
                <w:szCs w:val="21"/>
                <w:lang w:val="en-US" w:eastAsia="zh-CN" w:bidi="ar-SA"/>
              </w:rPr>
            </w:pPr>
            <w:r>
              <w:rPr>
                <w:rFonts w:hint="eastAsia" w:ascii="方正仿宋简体" w:hAnsi="方正仿宋简体" w:eastAsia="方正仿宋_GBK" w:cs="方正仿宋简体"/>
                <w:color w:val="auto"/>
                <w:kern w:val="0"/>
                <w:sz w:val="21"/>
                <w:szCs w:val="21"/>
                <w:lang w:val="en-US" w:eastAsia="zh-CN" w:bidi="ar-SA"/>
              </w:rPr>
              <w:t>前款规定以外的其他建设工程，建设单位在验收后应当报住房和城乡建设主管部门备案，住房和城乡建设主管部门应当进行抽查。</w:t>
            </w:r>
          </w:p>
          <w:p w14:paraId="27B6B858">
            <w:pPr>
              <w:pageBreakBefore w:val="0"/>
              <w:widowControl/>
              <w:kinsoku/>
              <w:wordWrap/>
              <w:overflowPunct/>
              <w:topLinePunct w:val="0"/>
              <w:bidi w:val="0"/>
              <w:spacing w:beforeAutospacing="0" w:afterAutospacing="0"/>
              <w:jc w:val="both"/>
              <w:rPr>
                <w:rFonts w:hint="eastAsia" w:ascii="方正仿宋简体" w:hAnsi="方正仿宋简体" w:eastAsia="方正仿宋简体" w:cs="方正仿宋简体"/>
                <w:color w:val="auto"/>
                <w:kern w:val="0"/>
                <w:sz w:val="21"/>
                <w:szCs w:val="21"/>
                <w:lang w:val="en-US" w:eastAsia="zh-CN" w:bidi="ar-SA"/>
              </w:rPr>
            </w:pPr>
            <w:r>
              <w:rPr>
                <w:rFonts w:hint="eastAsia" w:ascii="方正仿宋简体" w:hAnsi="方正仿宋简体" w:eastAsia="方正仿宋_GBK" w:cs="方正仿宋简体"/>
                <w:color w:val="auto"/>
                <w:kern w:val="0"/>
                <w:sz w:val="21"/>
                <w:szCs w:val="21"/>
                <w:lang w:val="en-US" w:eastAsia="zh-CN" w:bidi="ar-SA"/>
              </w:rPr>
              <w:t>依法应当进行消防验收的建设工程，未经消防验收或者消防验收不合格的，禁止投入使用；其他建设工程经依法抽查不合格的，应当停止使用。</w:t>
            </w:r>
          </w:p>
        </w:tc>
        <w:tc>
          <w:tcPr>
            <w:tcW w:w="1339" w:type="dxa"/>
            <w:shd w:val="clear" w:color="auto" w:fill="auto"/>
            <w:vAlign w:val="center"/>
          </w:tcPr>
          <w:p w14:paraId="345E77AD">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firstLine="420" w:firstLineChars="200"/>
              <w:jc w:val="both"/>
              <w:textAlignment w:val="auto"/>
              <w:rPr>
                <w:rFonts w:hint="eastAsia" w:ascii="方正仿宋简体" w:hAnsi="方正仿宋简体" w:eastAsia="方正仿宋_GBK" w:cs="方正仿宋简体"/>
                <w:color w:val="auto"/>
                <w:kern w:val="0"/>
                <w:sz w:val="21"/>
                <w:szCs w:val="21"/>
                <w:lang w:val="en-US" w:eastAsia="zh-CN" w:bidi="ar-SA"/>
              </w:rPr>
            </w:pPr>
            <w:r>
              <w:rPr>
                <w:rFonts w:hint="eastAsia" w:ascii="方正仿宋简体" w:hAnsi="方正仿宋简体" w:eastAsia="方正仿宋_GBK" w:cs="方正仿宋简体"/>
                <w:color w:val="auto"/>
                <w:kern w:val="0"/>
                <w:sz w:val="21"/>
                <w:szCs w:val="21"/>
                <w:lang w:val="en-US" w:eastAsia="zh-CN" w:bidi="ar-SA"/>
              </w:rPr>
              <w:t>《中华人民共和国消防法》第五十八条第三款之规定“建设单位未依照本法规定在验收后报住房和城乡建设主管部门备案”的，由住房和城乡建设主管部门责令其改正，并处五千元以下罚款。</w:t>
            </w:r>
          </w:p>
          <w:p w14:paraId="1B5B2B68">
            <w:pPr>
              <w:pageBreakBefore w:val="0"/>
              <w:widowControl/>
              <w:kinsoku/>
              <w:wordWrap/>
              <w:overflowPunct/>
              <w:topLinePunct w:val="0"/>
              <w:bidi w:val="0"/>
              <w:spacing w:beforeAutospacing="0" w:afterAutospacing="0"/>
              <w:jc w:val="both"/>
              <w:rPr>
                <w:rFonts w:hint="eastAsia" w:ascii="方正仿宋简体" w:hAnsi="方正仿宋简体" w:eastAsia="方正仿宋简体" w:cs="方正仿宋简体"/>
                <w:color w:val="auto"/>
                <w:kern w:val="0"/>
                <w:sz w:val="21"/>
                <w:szCs w:val="21"/>
                <w:lang w:val="en-US" w:eastAsia="zh-CN" w:bidi="ar-SA"/>
              </w:rPr>
            </w:pPr>
          </w:p>
        </w:tc>
        <w:tc>
          <w:tcPr>
            <w:tcW w:w="1191" w:type="dxa"/>
            <w:shd w:val="clear" w:color="auto" w:fill="auto"/>
            <w:vAlign w:val="center"/>
          </w:tcPr>
          <w:p w14:paraId="2E63AE92">
            <w:pPr>
              <w:pageBreakBefore w:val="0"/>
              <w:widowControl/>
              <w:kinsoku/>
              <w:wordWrap/>
              <w:overflowPunct/>
              <w:topLinePunct w:val="0"/>
              <w:bidi w:val="0"/>
              <w:spacing w:beforeAutospacing="0" w:afterAutospacing="0"/>
              <w:jc w:val="center"/>
              <w:rPr>
                <w:rFonts w:hint="eastAsia" w:ascii="方正仿宋简体" w:hAnsi="方正仿宋简体" w:eastAsia="方正仿宋简体" w:cs="方正仿宋简体"/>
                <w:color w:val="auto"/>
                <w:kern w:val="0"/>
                <w:sz w:val="21"/>
                <w:szCs w:val="21"/>
                <w:lang w:val="en-US" w:eastAsia="zh-CN" w:bidi="ar-SA"/>
              </w:rPr>
            </w:pPr>
          </w:p>
        </w:tc>
        <w:tc>
          <w:tcPr>
            <w:tcW w:w="4252" w:type="dxa"/>
            <w:shd w:val="clear" w:color="auto" w:fill="auto"/>
            <w:vAlign w:val="center"/>
          </w:tcPr>
          <w:p w14:paraId="2F3C5CCF">
            <w:pPr>
              <w:pageBreakBefore w:val="0"/>
              <w:widowControl/>
              <w:kinsoku/>
              <w:wordWrap/>
              <w:overflowPunct/>
              <w:topLinePunct w:val="0"/>
              <w:bidi w:val="0"/>
              <w:spacing w:beforeAutospacing="0" w:afterAutospacing="0"/>
              <w:jc w:val="both"/>
              <w:rPr>
                <w:rFonts w:hint="eastAsia" w:ascii="方正仿宋简体" w:hAnsi="方正仿宋简体" w:eastAsia="方正仿宋简体" w:cs="方正仿宋简体"/>
                <w:color w:val="auto"/>
                <w:kern w:val="0"/>
                <w:sz w:val="21"/>
                <w:szCs w:val="21"/>
                <w:lang w:val="en-US" w:eastAsia="zh-CN" w:bidi="ar-SA"/>
              </w:rPr>
            </w:pPr>
          </w:p>
        </w:tc>
        <w:tc>
          <w:tcPr>
            <w:tcW w:w="1701" w:type="dxa"/>
            <w:shd w:val="clear" w:color="auto" w:fill="auto"/>
            <w:vAlign w:val="center"/>
          </w:tcPr>
          <w:p w14:paraId="1DB9CCF9">
            <w:pPr>
              <w:pageBreakBefore w:val="0"/>
              <w:widowControl/>
              <w:kinsoku/>
              <w:wordWrap/>
              <w:overflowPunct/>
              <w:topLinePunct w:val="0"/>
              <w:bidi w:val="0"/>
              <w:spacing w:beforeAutospacing="0" w:afterAutospacing="0"/>
              <w:jc w:val="both"/>
              <w:rPr>
                <w:rFonts w:hint="eastAsia" w:ascii="方正仿宋简体" w:hAnsi="方正仿宋简体" w:eastAsia="方正仿宋简体" w:cs="方正仿宋简体"/>
                <w:color w:val="auto"/>
                <w:kern w:val="0"/>
                <w:sz w:val="21"/>
                <w:szCs w:val="21"/>
                <w:lang w:val="en-US" w:eastAsia="zh-CN" w:bidi="ar-SA"/>
              </w:rPr>
            </w:pPr>
            <w:r>
              <w:rPr>
                <w:rFonts w:hint="eastAsia" w:ascii="方正仿宋简体" w:hAnsi="方正仿宋简体" w:eastAsia="方正仿宋_GBK" w:cs="方正仿宋简体"/>
                <w:color w:val="auto"/>
                <w:kern w:val="0"/>
                <w:sz w:val="21"/>
                <w:szCs w:val="21"/>
                <w:lang w:val="en-US" w:eastAsia="zh-CN" w:bidi="ar-SA"/>
              </w:rPr>
              <w:t>处五千元以下罚款</w:t>
            </w:r>
          </w:p>
        </w:tc>
        <w:tc>
          <w:tcPr>
            <w:tcW w:w="1191" w:type="dxa"/>
            <w:shd w:val="clear" w:color="auto" w:fill="auto"/>
            <w:vAlign w:val="center"/>
          </w:tcPr>
          <w:p w14:paraId="191828A8">
            <w:pPr>
              <w:pageBreakBefore w:val="0"/>
              <w:widowControl/>
              <w:kinsoku/>
              <w:wordWrap/>
              <w:overflowPunct/>
              <w:topLinePunct w:val="0"/>
              <w:bidi w:val="0"/>
              <w:spacing w:beforeAutospacing="0" w:afterAutospacing="0"/>
              <w:jc w:val="both"/>
              <w:rPr>
                <w:rFonts w:hint="eastAsia" w:ascii="方正仿宋简体" w:hAnsi="方正仿宋简体" w:eastAsia="方正仿宋简体" w:cs="方正仿宋简体"/>
                <w:color w:val="auto"/>
                <w:kern w:val="0"/>
                <w:sz w:val="21"/>
                <w:szCs w:val="21"/>
                <w:lang w:val="en-US" w:eastAsia="zh-CN" w:bidi="ar-SA"/>
              </w:rPr>
            </w:pPr>
            <w:r>
              <w:rPr>
                <w:rFonts w:hint="eastAsia" w:ascii="方正仿宋简体" w:hAnsi="方正仿宋简体" w:eastAsia="方正仿宋_GBK" w:cs="方正仿宋简体"/>
                <w:color w:val="auto"/>
                <w:kern w:val="0"/>
                <w:sz w:val="21"/>
                <w:szCs w:val="21"/>
                <w:lang w:val="en-US" w:eastAsia="zh-CN" w:bidi="ar-SA"/>
              </w:rPr>
              <w:t>住房和城乡建设主管部门责令其改正</w:t>
            </w:r>
          </w:p>
        </w:tc>
      </w:tr>
      <w:tr w14:paraId="37275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80" w:type="dxa"/>
            <w:shd w:val="clear" w:color="auto" w:fill="auto"/>
            <w:vAlign w:val="center"/>
          </w:tcPr>
          <w:p w14:paraId="3E8282CE">
            <w:pPr>
              <w:pageBreakBefore w:val="0"/>
              <w:kinsoku/>
              <w:wordWrap/>
              <w:overflowPunct/>
              <w:topLinePunct w:val="0"/>
              <w:bidi w:val="0"/>
              <w:spacing w:beforeAutospacing="0" w:afterAutospacing="0"/>
              <w:jc w:val="center"/>
              <w:rPr>
                <w:rFonts w:hint="eastAsia" w:ascii="方正仿宋简体" w:hAnsi="方正仿宋简体" w:eastAsia="方正仿宋简体" w:cs="方正仿宋简体"/>
                <w:b/>
                <w:bCs/>
                <w:color w:val="auto"/>
                <w:kern w:val="0"/>
                <w:sz w:val="21"/>
                <w:szCs w:val="21"/>
                <w:lang w:val="en-US" w:eastAsia="zh-CN" w:bidi="ar-SA"/>
              </w:rPr>
            </w:pPr>
            <w:r>
              <w:rPr>
                <w:rFonts w:hint="eastAsia" w:ascii="方正仿宋简体" w:hAnsi="方正仿宋简体" w:eastAsia="方正仿宋_GBK" w:cs="方正仿宋简体"/>
                <w:b/>
                <w:bCs/>
                <w:color w:val="auto"/>
                <w:kern w:val="0"/>
                <w:sz w:val="21"/>
                <w:szCs w:val="21"/>
                <w:lang w:val="en-US" w:eastAsia="zh-CN"/>
              </w:rPr>
              <w:t>序号</w:t>
            </w:r>
          </w:p>
        </w:tc>
        <w:tc>
          <w:tcPr>
            <w:tcW w:w="1166" w:type="dxa"/>
            <w:shd w:val="clear" w:color="auto" w:fill="auto"/>
            <w:vAlign w:val="center"/>
          </w:tcPr>
          <w:p w14:paraId="447673C0">
            <w:pPr>
              <w:pageBreakBefore w:val="0"/>
              <w:kinsoku/>
              <w:wordWrap/>
              <w:overflowPunct/>
              <w:topLinePunct w:val="0"/>
              <w:bidi w:val="0"/>
              <w:spacing w:beforeAutospacing="0" w:afterAutospacing="0"/>
              <w:jc w:val="center"/>
              <w:rPr>
                <w:rFonts w:hint="eastAsia" w:ascii="方正仿宋简体" w:hAnsi="方正仿宋简体" w:eastAsia="方正仿宋简体" w:cs="方正仿宋简体"/>
                <w:b/>
                <w:bCs/>
                <w:color w:val="auto"/>
                <w:kern w:val="0"/>
                <w:sz w:val="21"/>
                <w:szCs w:val="21"/>
                <w:lang w:val="en-US" w:eastAsia="zh-CN" w:bidi="ar-SA"/>
              </w:rPr>
            </w:pPr>
            <w:r>
              <w:rPr>
                <w:rFonts w:hint="eastAsia" w:ascii="方正仿宋简体" w:hAnsi="方正仿宋简体" w:eastAsia="方正仿宋_GBK" w:cs="方正仿宋简体"/>
                <w:b/>
                <w:bCs/>
                <w:color w:val="auto"/>
                <w:kern w:val="0"/>
                <w:sz w:val="21"/>
                <w:szCs w:val="21"/>
                <w:lang w:val="en-US" w:eastAsia="zh-CN"/>
              </w:rPr>
              <w:t>基准编号</w:t>
            </w:r>
          </w:p>
        </w:tc>
        <w:tc>
          <w:tcPr>
            <w:tcW w:w="1329" w:type="dxa"/>
            <w:shd w:val="clear" w:color="auto" w:fill="auto"/>
            <w:vAlign w:val="center"/>
          </w:tcPr>
          <w:p w14:paraId="33999395">
            <w:pPr>
              <w:pageBreakBefore w:val="0"/>
              <w:kinsoku/>
              <w:wordWrap/>
              <w:overflowPunct/>
              <w:topLinePunct w:val="0"/>
              <w:bidi w:val="0"/>
              <w:spacing w:beforeAutospacing="0" w:afterAutospacing="0"/>
              <w:jc w:val="center"/>
              <w:rPr>
                <w:rFonts w:hint="eastAsia" w:ascii="方正仿宋简体" w:hAnsi="方正仿宋简体" w:eastAsia="方正仿宋简体" w:cs="方正仿宋简体"/>
                <w:b/>
                <w:bCs/>
                <w:color w:val="auto"/>
                <w:kern w:val="0"/>
                <w:sz w:val="21"/>
                <w:szCs w:val="21"/>
                <w:lang w:val="en-US" w:eastAsia="zh-CN" w:bidi="ar-SA"/>
              </w:rPr>
            </w:pPr>
            <w:r>
              <w:rPr>
                <w:rFonts w:hint="eastAsia" w:ascii="方正仿宋简体" w:hAnsi="方正仿宋简体" w:eastAsia="方正仿宋_GBK" w:cs="方正仿宋简体"/>
                <w:b/>
                <w:bCs/>
                <w:color w:val="auto"/>
                <w:kern w:val="0"/>
                <w:sz w:val="21"/>
                <w:szCs w:val="21"/>
                <w:lang w:val="en-US" w:eastAsia="zh-CN"/>
              </w:rPr>
              <w:t>违法行为</w:t>
            </w:r>
          </w:p>
        </w:tc>
        <w:tc>
          <w:tcPr>
            <w:tcW w:w="1626" w:type="dxa"/>
            <w:shd w:val="clear" w:color="auto" w:fill="auto"/>
            <w:vAlign w:val="center"/>
          </w:tcPr>
          <w:p w14:paraId="3E9690F5">
            <w:pPr>
              <w:pageBreakBefore w:val="0"/>
              <w:kinsoku/>
              <w:wordWrap/>
              <w:overflowPunct/>
              <w:topLinePunct w:val="0"/>
              <w:bidi w:val="0"/>
              <w:spacing w:beforeAutospacing="0" w:afterAutospacing="0"/>
              <w:jc w:val="center"/>
              <w:rPr>
                <w:rFonts w:hint="eastAsia" w:ascii="方正仿宋简体" w:hAnsi="方正仿宋简体" w:eastAsia="方正仿宋简体" w:cs="方正仿宋简体"/>
                <w:b/>
                <w:bCs/>
                <w:color w:val="auto"/>
                <w:kern w:val="0"/>
                <w:sz w:val="21"/>
                <w:szCs w:val="21"/>
                <w:lang w:val="en-US" w:eastAsia="zh-CN" w:bidi="ar-SA"/>
              </w:rPr>
            </w:pPr>
            <w:r>
              <w:rPr>
                <w:rFonts w:hint="eastAsia" w:ascii="方正仿宋简体" w:hAnsi="方正仿宋简体" w:eastAsia="方正仿宋_GBK" w:cs="方正仿宋简体"/>
                <w:b/>
                <w:bCs/>
                <w:color w:val="auto"/>
                <w:kern w:val="0"/>
                <w:sz w:val="21"/>
                <w:szCs w:val="21"/>
                <w:lang w:val="en-US" w:eastAsia="zh-CN"/>
              </w:rPr>
              <w:t>违反条款</w:t>
            </w:r>
          </w:p>
        </w:tc>
        <w:tc>
          <w:tcPr>
            <w:tcW w:w="1776" w:type="dxa"/>
            <w:gridSpan w:val="2"/>
            <w:shd w:val="clear" w:color="auto" w:fill="auto"/>
            <w:vAlign w:val="center"/>
          </w:tcPr>
          <w:p w14:paraId="60DA4276">
            <w:pPr>
              <w:pageBreakBefore w:val="0"/>
              <w:kinsoku/>
              <w:wordWrap/>
              <w:overflowPunct/>
              <w:topLinePunct w:val="0"/>
              <w:bidi w:val="0"/>
              <w:spacing w:beforeAutospacing="0" w:afterAutospacing="0"/>
              <w:jc w:val="center"/>
              <w:rPr>
                <w:rFonts w:hint="eastAsia" w:ascii="方正仿宋简体" w:hAnsi="方正仿宋简体" w:eastAsia="方正仿宋简体" w:cs="方正仿宋简体"/>
                <w:b/>
                <w:bCs/>
                <w:color w:val="auto"/>
                <w:kern w:val="0"/>
                <w:sz w:val="21"/>
                <w:szCs w:val="21"/>
                <w:lang w:val="en-US" w:eastAsia="zh-CN" w:bidi="ar-SA"/>
              </w:rPr>
            </w:pPr>
            <w:r>
              <w:rPr>
                <w:rFonts w:hint="eastAsia" w:ascii="方正仿宋简体" w:hAnsi="方正仿宋简体" w:eastAsia="方正仿宋_GBK" w:cs="方正仿宋简体"/>
                <w:b/>
                <w:bCs/>
                <w:color w:val="auto"/>
                <w:kern w:val="0"/>
                <w:sz w:val="21"/>
                <w:szCs w:val="21"/>
                <w:lang w:val="en-US" w:eastAsia="zh-CN"/>
              </w:rPr>
              <w:t>处罚依据</w:t>
            </w:r>
          </w:p>
        </w:tc>
        <w:tc>
          <w:tcPr>
            <w:tcW w:w="1191" w:type="dxa"/>
            <w:shd w:val="clear" w:color="auto" w:fill="auto"/>
            <w:vAlign w:val="center"/>
          </w:tcPr>
          <w:p w14:paraId="6335A353">
            <w:pPr>
              <w:pageBreakBefore w:val="0"/>
              <w:kinsoku/>
              <w:wordWrap/>
              <w:overflowPunct/>
              <w:topLinePunct w:val="0"/>
              <w:bidi w:val="0"/>
              <w:spacing w:beforeAutospacing="0" w:afterAutospacing="0"/>
              <w:jc w:val="center"/>
              <w:rPr>
                <w:rFonts w:hint="eastAsia" w:ascii="方正仿宋简体" w:hAnsi="方正仿宋简体" w:eastAsia="方正仿宋简体" w:cs="方正仿宋简体"/>
                <w:b/>
                <w:bCs/>
                <w:color w:val="auto"/>
                <w:kern w:val="0"/>
                <w:sz w:val="21"/>
                <w:szCs w:val="21"/>
                <w:lang w:val="en-US" w:eastAsia="zh-CN" w:bidi="ar-SA"/>
              </w:rPr>
            </w:pPr>
            <w:r>
              <w:rPr>
                <w:rFonts w:hint="eastAsia" w:ascii="方正仿宋简体" w:hAnsi="方正仿宋简体" w:eastAsia="方正仿宋_GBK" w:cs="方正仿宋简体"/>
                <w:b/>
                <w:bCs/>
                <w:color w:val="auto"/>
                <w:kern w:val="0"/>
                <w:sz w:val="21"/>
                <w:szCs w:val="21"/>
                <w:lang w:val="en-US" w:eastAsia="zh-CN"/>
              </w:rPr>
              <w:t>裁量幅度</w:t>
            </w:r>
          </w:p>
        </w:tc>
        <w:tc>
          <w:tcPr>
            <w:tcW w:w="4252" w:type="dxa"/>
            <w:shd w:val="clear" w:color="auto" w:fill="auto"/>
            <w:vAlign w:val="center"/>
          </w:tcPr>
          <w:p w14:paraId="780AF686">
            <w:pPr>
              <w:pageBreakBefore w:val="0"/>
              <w:kinsoku/>
              <w:wordWrap/>
              <w:overflowPunct/>
              <w:topLinePunct w:val="0"/>
              <w:bidi w:val="0"/>
              <w:spacing w:beforeAutospacing="0" w:afterAutospacing="0"/>
              <w:jc w:val="center"/>
              <w:rPr>
                <w:rFonts w:hint="eastAsia" w:ascii="方正仿宋简体" w:hAnsi="方正仿宋简体" w:eastAsia="方正仿宋简体" w:cs="方正仿宋简体"/>
                <w:b/>
                <w:bCs/>
                <w:color w:val="auto"/>
                <w:kern w:val="0"/>
                <w:sz w:val="21"/>
                <w:szCs w:val="21"/>
                <w:lang w:val="en-US" w:eastAsia="zh-CN" w:bidi="ar-SA"/>
              </w:rPr>
            </w:pPr>
            <w:r>
              <w:rPr>
                <w:rFonts w:hint="eastAsia" w:ascii="方正仿宋简体" w:hAnsi="方正仿宋简体" w:eastAsia="方正仿宋_GBK" w:cs="方正仿宋简体"/>
                <w:b/>
                <w:bCs/>
                <w:color w:val="auto"/>
                <w:kern w:val="0"/>
                <w:sz w:val="21"/>
                <w:szCs w:val="21"/>
                <w:lang w:val="en-US" w:eastAsia="zh-CN"/>
              </w:rPr>
              <w:t>违法情节和后果</w:t>
            </w:r>
          </w:p>
        </w:tc>
        <w:tc>
          <w:tcPr>
            <w:tcW w:w="1701" w:type="dxa"/>
            <w:shd w:val="clear" w:color="auto" w:fill="auto"/>
            <w:vAlign w:val="center"/>
          </w:tcPr>
          <w:p w14:paraId="035B24B6">
            <w:pPr>
              <w:pageBreakBefore w:val="0"/>
              <w:kinsoku/>
              <w:wordWrap/>
              <w:overflowPunct/>
              <w:topLinePunct w:val="0"/>
              <w:bidi w:val="0"/>
              <w:spacing w:beforeAutospacing="0" w:afterAutospacing="0"/>
              <w:jc w:val="center"/>
              <w:rPr>
                <w:rFonts w:hint="eastAsia" w:ascii="方正仿宋简体" w:hAnsi="方正仿宋简体" w:eastAsia="方正仿宋简体" w:cs="方正仿宋简体"/>
                <w:b/>
                <w:bCs/>
                <w:color w:val="auto"/>
                <w:kern w:val="0"/>
                <w:sz w:val="21"/>
                <w:szCs w:val="21"/>
                <w:lang w:val="en-US" w:eastAsia="zh-CN" w:bidi="ar-SA"/>
              </w:rPr>
            </w:pPr>
            <w:r>
              <w:rPr>
                <w:rFonts w:hint="eastAsia" w:ascii="方正仿宋简体" w:hAnsi="方正仿宋简体" w:eastAsia="方正仿宋_GBK" w:cs="方正仿宋简体"/>
                <w:b/>
                <w:bCs/>
                <w:color w:val="auto"/>
                <w:kern w:val="0"/>
                <w:sz w:val="21"/>
                <w:szCs w:val="21"/>
                <w:lang w:val="en-US" w:eastAsia="zh-CN"/>
              </w:rPr>
              <w:t>处罚裁量基准</w:t>
            </w:r>
          </w:p>
        </w:tc>
        <w:tc>
          <w:tcPr>
            <w:tcW w:w="1191" w:type="dxa"/>
            <w:shd w:val="clear" w:color="auto" w:fill="auto"/>
            <w:vAlign w:val="center"/>
          </w:tcPr>
          <w:p w14:paraId="523B64F2">
            <w:pPr>
              <w:pageBreakBefore w:val="0"/>
              <w:kinsoku/>
              <w:wordWrap/>
              <w:overflowPunct/>
              <w:topLinePunct w:val="0"/>
              <w:bidi w:val="0"/>
              <w:spacing w:beforeAutospacing="0" w:afterAutospacing="0"/>
              <w:jc w:val="center"/>
              <w:rPr>
                <w:rFonts w:hint="eastAsia" w:ascii="方正仿宋简体" w:hAnsi="方正仿宋简体" w:eastAsia="方正仿宋简体" w:cs="方正仿宋简体"/>
                <w:b/>
                <w:bCs/>
                <w:color w:val="auto"/>
                <w:kern w:val="0"/>
                <w:sz w:val="21"/>
                <w:szCs w:val="21"/>
                <w:lang w:val="en-US" w:eastAsia="zh-CN" w:bidi="ar-SA"/>
              </w:rPr>
            </w:pPr>
            <w:r>
              <w:rPr>
                <w:rFonts w:hint="eastAsia" w:ascii="方正仿宋简体" w:hAnsi="方正仿宋简体" w:eastAsia="方正仿宋_GBK" w:cs="方正仿宋简体"/>
                <w:b/>
                <w:bCs/>
                <w:color w:val="auto"/>
                <w:kern w:val="0"/>
                <w:sz w:val="21"/>
                <w:szCs w:val="21"/>
                <w:lang w:val="en-US" w:eastAsia="zh-CN"/>
              </w:rPr>
              <w:t>其他处理</w:t>
            </w:r>
          </w:p>
        </w:tc>
      </w:tr>
      <w:tr w14:paraId="47EED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31" w:hRule="atLeast"/>
          <w:jc w:val="center"/>
        </w:trPr>
        <w:tc>
          <w:tcPr>
            <w:tcW w:w="680" w:type="dxa"/>
            <w:vMerge w:val="restart"/>
            <w:shd w:val="clear" w:color="auto" w:fill="auto"/>
            <w:vAlign w:val="center"/>
          </w:tcPr>
          <w:p w14:paraId="07D325C8">
            <w:pPr>
              <w:pageBreakBefore w:val="0"/>
              <w:widowControl/>
              <w:kinsoku/>
              <w:wordWrap/>
              <w:overflowPunct/>
              <w:topLinePunct w:val="0"/>
              <w:bidi w:val="0"/>
              <w:spacing w:beforeAutospacing="0" w:afterAutospacing="0"/>
              <w:jc w:val="center"/>
              <w:rPr>
                <w:rFonts w:hint="default" w:ascii="方正仿宋简体" w:hAnsi="方正仿宋简体" w:eastAsia="方正仿宋简体" w:cs="方正仿宋简体"/>
                <w:color w:val="auto"/>
                <w:kern w:val="0"/>
                <w:sz w:val="21"/>
                <w:szCs w:val="21"/>
                <w:lang w:val="en-US" w:eastAsia="zh-CN" w:bidi="ar-SA"/>
              </w:rPr>
            </w:pPr>
            <w:r>
              <w:rPr>
                <w:rFonts w:hint="eastAsia" w:ascii="方正仿宋简体" w:hAnsi="方正仿宋简体" w:eastAsia="方正仿宋简体" w:cs="方正仿宋简体"/>
                <w:color w:val="auto"/>
                <w:kern w:val="0"/>
                <w:sz w:val="21"/>
                <w:szCs w:val="21"/>
                <w:lang w:val="en-US" w:eastAsia="zh-CN" w:bidi="ar-SA"/>
              </w:rPr>
              <w:t>4</w:t>
            </w:r>
          </w:p>
        </w:tc>
        <w:tc>
          <w:tcPr>
            <w:tcW w:w="1166" w:type="dxa"/>
            <w:vMerge w:val="restart"/>
            <w:shd w:val="clear" w:color="auto" w:fill="auto"/>
            <w:vAlign w:val="center"/>
          </w:tcPr>
          <w:p w14:paraId="0DDA1468">
            <w:pPr>
              <w:pageBreakBefore w:val="0"/>
              <w:widowControl/>
              <w:kinsoku/>
              <w:wordWrap/>
              <w:overflowPunct/>
              <w:topLinePunct w:val="0"/>
              <w:bidi w:val="0"/>
              <w:spacing w:beforeAutospacing="0" w:afterAutospacing="0"/>
              <w:jc w:val="center"/>
              <w:rPr>
                <w:rFonts w:hint="eastAsia" w:ascii="方正仿宋简体" w:hAnsi="方正仿宋简体" w:eastAsia="方正仿宋简体" w:cs="方正仿宋简体"/>
                <w:color w:val="auto"/>
                <w:kern w:val="0"/>
                <w:sz w:val="21"/>
                <w:szCs w:val="21"/>
                <w:lang w:val="en-US" w:eastAsia="zh-CN" w:bidi="ar-SA"/>
              </w:rPr>
            </w:pPr>
          </w:p>
        </w:tc>
        <w:tc>
          <w:tcPr>
            <w:tcW w:w="1329" w:type="dxa"/>
            <w:vMerge w:val="restart"/>
            <w:shd w:val="clear" w:color="auto" w:fill="auto"/>
            <w:vAlign w:val="center"/>
          </w:tcPr>
          <w:p w14:paraId="3B67BD86">
            <w:pPr>
              <w:pageBreakBefore w:val="0"/>
              <w:widowControl/>
              <w:kinsoku/>
              <w:wordWrap/>
              <w:overflowPunct/>
              <w:topLinePunct w:val="0"/>
              <w:bidi w:val="0"/>
              <w:spacing w:beforeAutospacing="0" w:afterAutospacing="0"/>
              <w:jc w:val="both"/>
              <w:rPr>
                <w:rFonts w:hint="eastAsia" w:ascii="方正仿宋简体" w:hAnsi="方正仿宋简体" w:eastAsia="方正仿宋简体" w:cs="方正仿宋简体"/>
                <w:color w:val="auto"/>
                <w:kern w:val="0"/>
                <w:sz w:val="21"/>
                <w:szCs w:val="21"/>
                <w:lang w:val="en-US" w:eastAsia="zh-CN" w:bidi="ar-SA"/>
              </w:rPr>
            </w:pPr>
            <w:bookmarkStart w:id="11" w:name="FunCunProofread50803"/>
            <w:r>
              <w:rPr>
                <w:rFonts w:hint="eastAsia" w:ascii="方正仿宋简体" w:hAnsi="方正仿宋简体" w:eastAsia="方正仿宋_GBK" w:cs="方正仿宋简体"/>
                <w:color w:val="auto"/>
                <w:kern w:val="0"/>
                <w:sz w:val="21"/>
                <w:szCs w:val="21"/>
                <w:u w:val="none" w:color="FFFFFF"/>
                <w:shd w:val="clear"/>
                <w:lang w:val="en-US" w:eastAsia="zh-CN" w:bidi="ar-SA"/>
              </w:rPr>
              <w:t>（一）</w:t>
            </w:r>
            <w:bookmarkEnd w:id="11"/>
            <w:r>
              <w:rPr>
                <w:rFonts w:hint="eastAsia" w:ascii="方正仿宋简体" w:hAnsi="方正仿宋简体" w:eastAsia="方正仿宋_GBK" w:cs="方正仿宋简体"/>
                <w:color w:val="auto"/>
                <w:kern w:val="0"/>
                <w:sz w:val="21"/>
                <w:szCs w:val="21"/>
                <w:lang w:val="en-US" w:eastAsia="zh-CN" w:bidi="ar-SA"/>
              </w:rPr>
              <w:t>建设单位要求建筑设计单位或者建筑施工企业降低消防技术标准设计、施工的；（二）建筑设计单位不按照消防技术标准强制性要求进行消防设计的；（三）建筑施工企业不按照消防设计文件和消防技术标准施工，降低消防施工质量的；（四）工程监理单位与建设单位或者建筑施工企业串通，弄虚作假，降低消防施工质量的</w:t>
            </w:r>
          </w:p>
        </w:tc>
        <w:tc>
          <w:tcPr>
            <w:tcW w:w="1626" w:type="dxa"/>
            <w:vMerge w:val="restart"/>
            <w:shd w:val="clear" w:color="auto" w:fill="auto"/>
            <w:vAlign w:val="center"/>
          </w:tcPr>
          <w:p w14:paraId="67D406E7">
            <w:pPr>
              <w:pageBreakBefore w:val="0"/>
              <w:widowControl/>
              <w:kinsoku/>
              <w:wordWrap/>
              <w:overflowPunct/>
              <w:topLinePunct w:val="0"/>
              <w:bidi w:val="0"/>
              <w:spacing w:beforeAutospacing="0" w:afterAutospacing="0"/>
              <w:jc w:val="both"/>
              <w:rPr>
                <w:rFonts w:hint="eastAsia" w:ascii="方正仿宋简体" w:hAnsi="方正仿宋简体" w:eastAsia="方正仿宋简体" w:cs="方正仿宋简体"/>
                <w:color w:val="auto"/>
                <w:kern w:val="0"/>
                <w:sz w:val="21"/>
                <w:szCs w:val="21"/>
                <w:lang w:val="en-US" w:eastAsia="zh-CN" w:bidi="ar-SA"/>
              </w:rPr>
            </w:pPr>
            <w:r>
              <w:rPr>
                <w:rFonts w:hint="eastAsia" w:ascii="方正仿宋简体" w:hAnsi="方正仿宋简体" w:eastAsia="方正仿宋_GBK" w:cs="方正仿宋简体"/>
                <w:color w:val="auto"/>
                <w:kern w:val="0"/>
                <w:sz w:val="21"/>
                <w:szCs w:val="21"/>
                <w:lang w:val="en-US" w:eastAsia="zh-CN" w:bidi="ar-SA"/>
              </w:rPr>
              <w:t xml:space="preserve">《中华人民共和国消防法》第五十九条 </w:t>
            </w:r>
          </w:p>
        </w:tc>
        <w:tc>
          <w:tcPr>
            <w:tcW w:w="1776" w:type="dxa"/>
            <w:gridSpan w:val="2"/>
            <w:vMerge w:val="restart"/>
            <w:shd w:val="clear" w:color="auto" w:fill="auto"/>
            <w:vAlign w:val="center"/>
          </w:tcPr>
          <w:p w14:paraId="6F4803CB">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firstLine="420" w:firstLineChars="200"/>
              <w:jc w:val="both"/>
              <w:textAlignment w:val="auto"/>
              <w:rPr>
                <w:rFonts w:hint="eastAsia" w:ascii="方正仿宋简体" w:hAnsi="方正仿宋简体" w:eastAsia="方正仿宋简体" w:cs="方正仿宋简体"/>
                <w:color w:val="auto"/>
                <w:kern w:val="0"/>
                <w:sz w:val="21"/>
                <w:szCs w:val="21"/>
                <w:lang w:val="en-US" w:eastAsia="zh-CN" w:bidi="ar-SA"/>
              </w:rPr>
            </w:pPr>
            <w:r>
              <w:rPr>
                <w:rFonts w:hint="eastAsia" w:ascii="方正仿宋简体" w:hAnsi="方正仿宋简体" w:eastAsia="方正仿宋_GBK" w:cs="方正仿宋简体"/>
                <w:color w:val="auto"/>
                <w:kern w:val="0"/>
                <w:sz w:val="21"/>
                <w:szCs w:val="21"/>
                <w:lang w:val="en-US" w:eastAsia="zh-CN" w:bidi="ar-SA"/>
              </w:rPr>
              <w:t>《中华人民共和国消防法》第五十九条之规定，有下列行为之一的：“建设单位要求建筑设计单位或者建筑施工企业降低消防技术标准设计、施工的；（二）建筑设计单位不按照消防技术标准强制性要求进行消防设计的；（三）建筑施工企业不按照消防设计文件和消防技术标准施工，降低消防施工质量的；（四）工程监理单位与建设单位或者建筑施工企业串通，弄虚作假，降低消防施工质量的”由住房和城乡建设主管部门，责令其改正或者停止施工，并处一万元以上十万元以下罚款。</w:t>
            </w:r>
          </w:p>
        </w:tc>
        <w:tc>
          <w:tcPr>
            <w:tcW w:w="1191" w:type="dxa"/>
            <w:shd w:val="clear" w:color="auto" w:fill="auto"/>
            <w:vAlign w:val="center"/>
          </w:tcPr>
          <w:p w14:paraId="515429D3">
            <w:pPr>
              <w:pageBreakBefore w:val="0"/>
              <w:widowControl/>
              <w:kinsoku/>
              <w:wordWrap/>
              <w:overflowPunct/>
              <w:topLinePunct w:val="0"/>
              <w:bidi w:val="0"/>
              <w:spacing w:beforeAutospacing="0" w:afterAutospacing="0"/>
              <w:jc w:val="center"/>
              <w:rPr>
                <w:rFonts w:hint="default" w:ascii="方正仿宋简体" w:hAnsi="方正仿宋简体" w:eastAsia="方正仿宋简体" w:cs="方正仿宋简体"/>
                <w:color w:val="auto"/>
                <w:kern w:val="0"/>
                <w:sz w:val="21"/>
                <w:szCs w:val="21"/>
                <w:lang w:val="en-US" w:eastAsia="zh-CN" w:bidi="ar-SA"/>
              </w:rPr>
            </w:pPr>
            <w:r>
              <w:rPr>
                <w:rFonts w:hint="eastAsia" w:ascii="方正仿宋简体" w:hAnsi="方正仿宋简体" w:eastAsia="方正仿宋简体" w:cs="方正仿宋简体"/>
                <w:color w:val="auto"/>
                <w:kern w:val="0"/>
                <w:sz w:val="21"/>
                <w:szCs w:val="21"/>
                <w:lang w:val="en-US" w:eastAsia="zh-CN" w:bidi="ar-SA"/>
              </w:rPr>
              <w:t>较轻</w:t>
            </w:r>
          </w:p>
        </w:tc>
        <w:tc>
          <w:tcPr>
            <w:tcW w:w="4252" w:type="dxa"/>
            <w:shd w:val="clear" w:color="auto" w:fill="auto"/>
            <w:vAlign w:val="center"/>
          </w:tcPr>
          <w:p w14:paraId="0A00FBB2">
            <w:pPr>
              <w:pageBreakBefore w:val="0"/>
              <w:widowControl/>
              <w:kinsoku/>
              <w:wordWrap/>
              <w:overflowPunct/>
              <w:topLinePunct w:val="0"/>
              <w:bidi w:val="0"/>
              <w:spacing w:beforeAutospacing="0" w:afterAutospacing="0"/>
              <w:jc w:val="both"/>
              <w:rPr>
                <w:rFonts w:hint="eastAsia" w:ascii="方正仿宋简体" w:hAnsi="方正仿宋简体" w:eastAsia="方正仿宋简体" w:cs="方正仿宋简体"/>
                <w:color w:val="auto"/>
                <w:kern w:val="0"/>
                <w:sz w:val="21"/>
                <w:szCs w:val="21"/>
                <w:lang w:val="en-US" w:eastAsia="zh-CN" w:bidi="ar-SA"/>
              </w:rPr>
            </w:pPr>
            <w:r>
              <w:rPr>
                <w:rFonts w:hint="eastAsia" w:ascii="方正仿宋简体" w:hAnsi="方正仿宋简体" w:eastAsia="方正仿宋_GBK" w:cs="方正仿宋简体"/>
                <w:color w:val="auto"/>
                <w:kern w:val="0"/>
                <w:sz w:val="21"/>
                <w:szCs w:val="21"/>
                <w:lang w:val="en-US" w:eastAsia="zh-CN" w:bidi="ar-SA"/>
              </w:rPr>
              <w:t>建筑总面积不足五千平方米的</w:t>
            </w:r>
          </w:p>
        </w:tc>
        <w:tc>
          <w:tcPr>
            <w:tcW w:w="1701" w:type="dxa"/>
            <w:shd w:val="clear" w:color="auto" w:fill="auto"/>
            <w:vAlign w:val="center"/>
          </w:tcPr>
          <w:p w14:paraId="2909CF7F">
            <w:pPr>
              <w:pageBreakBefore w:val="0"/>
              <w:widowControl/>
              <w:kinsoku/>
              <w:wordWrap/>
              <w:overflowPunct/>
              <w:topLinePunct w:val="0"/>
              <w:bidi w:val="0"/>
              <w:spacing w:beforeAutospacing="0" w:afterAutospacing="0"/>
              <w:jc w:val="both"/>
              <w:rPr>
                <w:rFonts w:hint="eastAsia" w:ascii="方正仿宋简体" w:hAnsi="方正仿宋简体" w:eastAsia="方正仿宋简体" w:cs="方正仿宋简体"/>
                <w:color w:val="auto"/>
                <w:kern w:val="0"/>
                <w:sz w:val="21"/>
                <w:szCs w:val="21"/>
                <w:lang w:val="en-US" w:eastAsia="zh-CN" w:bidi="ar-SA"/>
              </w:rPr>
            </w:pPr>
            <w:r>
              <w:rPr>
                <w:rFonts w:hint="eastAsia" w:ascii="方正仿宋简体" w:hAnsi="方正仿宋简体" w:eastAsia="方正仿宋_GBK" w:cs="方正仿宋简体"/>
                <w:color w:val="auto"/>
                <w:kern w:val="0"/>
                <w:sz w:val="21"/>
                <w:szCs w:val="21"/>
                <w:lang w:val="en-US" w:eastAsia="zh-CN" w:bidi="ar-SA"/>
              </w:rPr>
              <w:t>处一万元以上三万元以下罚款</w:t>
            </w:r>
          </w:p>
        </w:tc>
        <w:tc>
          <w:tcPr>
            <w:tcW w:w="1191" w:type="dxa"/>
            <w:vMerge w:val="restart"/>
            <w:shd w:val="clear" w:color="auto" w:fill="auto"/>
            <w:vAlign w:val="center"/>
          </w:tcPr>
          <w:p w14:paraId="26754EF3">
            <w:pPr>
              <w:pageBreakBefore w:val="0"/>
              <w:widowControl/>
              <w:kinsoku/>
              <w:wordWrap/>
              <w:overflowPunct/>
              <w:topLinePunct w:val="0"/>
              <w:bidi w:val="0"/>
              <w:spacing w:beforeAutospacing="0" w:afterAutospacing="0"/>
              <w:jc w:val="both"/>
              <w:rPr>
                <w:rFonts w:hint="eastAsia" w:ascii="方正仿宋简体" w:hAnsi="方正仿宋简体" w:eastAsia="方正仿宋简体" w:cs="方正仿宋简体"/>
                <w:color w:val="auto"/>
                <w:kern w:val="0"/>
                <w:sz w:val="21"/>
                <w:szCs w:val="21"/>
                <w:lang w:val="en-US" w:eastAsia="zh-CN" w:bidi="ar-SA"/>
              </w:rPr>
            </w:pPr>
            <w:r>
              <w:rPr>
                <w:rFonts w:hint="eastAsia" w:ascii="方正仿宋简体" w:hAnsi="方正仿宋简体" w:eastAsia="方正仿宋_GBK" w:cs="方正仿宋简体"/>
                <w:color w:val="auto"/>
                <w:kern w:val="0"/>
                <w:sz w:val="21"/>
                <w:szCs w:val="21"/>
                <w:lang w:val="en-US" w:eastAsia="zh-CN" w:bidi="ar-SA"/>
              </w:rPr>
              <w:t>住房和城乡建设主管部门，责令其改正或者停止施工</w:t>
            </w:r>
          </w:p>
        </w:tc>
      </w:tr>
      <w:tr w14:paraId="40841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40" w:hRule="atLeast"/>
          <w:jc w:val="center"/>
        </w:trPr>
        <w:tc>
          <w:tcPr>
            <w:tcW w:w="680" w:type="dxa"/>
            <w:vMerge w:val="continue"/>
            <w:shd w:val="clear" w:color="auto" w:fill="auto"/>
            <w:vAlign w:val="center"/>
          </w:tcPr>
          <w:p w14:paraId="1B876555">
            <w:pPr>
              <w:pageBreakBefore w:val="0"/>
              <w:widowControl/>
              <w:kinsoku/>
              <w:wordWrap/>
              <w:overflowPunct/>
              <w:topLinePunct w:val="0"/>
              <w:bidi w:val="0"/>
              <w:spacing w:beforeAutospacing="0" w:afterAutospacing="0"/>
              <w:jc w:val="center"/>
              <w:rPr>
                <w:rFonts w:hint="eastAsia" w:ascii="方正仿宋简体" w:hAnsi="方正仿宋简体" w:eastAsia="方正仿宋简体" w:cs="方正仿宋简体"/>
                <w:color w:val="auto"/>
                <w:kern w:val="0"/>
                <w:sz w:val="21"/>
                <w:szCs w:val="21"/>
                <w:lang w:val="en-US" w:eastAsia="zh-CN" w:bidi="ar-SA"/>
              </w:rPr>
            </w:pPr>
          </w:p>
        </w:tc>
        <w:tc>
          <w:tcPr>
            <w:tcW w:w="1166" w:type="dxa"/>
            <w:vMerge w:val="continue"/>
            <w:shd w:val="clear" w:color="auto" w:fill="auto"/>
            <w:vAlign w:val="center"/>
          </w:tcPr>
          <w:p w14:paraId="1F9729AB">
            <w:pPr>
              <w:pageBreakBefore w:val="0"/>
              <w:widowControl/>
              <w:kinsoku/>
              <w:wordWrap/>
              <w:overflowPunct/>
              <w:topLinePunct w:val="0"/>
              <w:bidi w:val="0"/>
              <w:spacing w:beforeAutospacing="0" w:afterAutospacing="0"/>
              <w:jc w:val="center"/>
              <w:rPr>
                <w:rFonts w:hint="eastAsia" w:ascii="方正仿宋简体" w:hAnsi="方正仿宋简体" w:eastAsia="方正仿宋简体" w:cs="方正仿宋简体"/>
                <w:color w:val="auto"/>
                <w:kern w:val="0"/>
                <w:sz w:val="21"/>
                <w:szCs w:val="21"/>
                <w:lang w:val="en-US" w:eastAsia="zh-CN" w:bidi="ar-SA"/>
              </w:rPr>
            </w:pPr>
          </w:p>
        </w:tc>
        <w:tc>
          <w:tcPr>
            <w:tcW w:w="1329" w:type="dxa"/>
            <w:vMerge w:val="continue"/>
            <w:shd w:val="clear" w:color="auto" w:fill="auto"/>
            <w:vAlign w:val="center"/>
          </w:tcPr>
          <w:p w14:paraId="647FAAB4">
            <w:pPr>
              <w:pageBreakBefore w:val="0"/>
              <w:widowControl/>
              <w:kinsoku/>
              <w:wordWrap/>
              <w:overflowPunct/>
              <w:topLinePunct w:val="0"/>
              <w:bidi w:val="0"/>
              <w:spacing w:beforeAutospacing="0" w:afterAutospacing="0"/>
              <w:jc w:val="both"/>
              <w:rPr>
                <w:rFonts w:hint="eastAsia" w:ascii="方正仿宋简体" w:hAnsi="方正仿宋简体" w:eastAsia="方正仿宋_GBK" w:cs="方正仿宋简体"/>
                <w:color w:val="auto"/>
                <w:kern w:val="0"/>
                <w:sz w:val="21"/>
                <w:szCs w:val="21"/>
                <w:lang w:val="en-US" w:eastAsia="zh-CN" w:bidi="ar-SA"/>
              </w:rPr>
            </w:pPr>
          </w:p>
        </w:tc>
        <w:tc>
          <w:tcPr>
            <w:tcW w:w="1626" w:type="dxa"/>
            <w:vMerge w:val="continue"/>
            <w:shd w:val="clear" w:color="auto" w:fill="auto"/>
            <w:vAlign w:val="center"/>
          </w:tcPr>
          <w:p w14:paraId="7AF90E7E">
            <w:pPr>
              <w:pageBreakBefore w:val="0"/>
              <w:widowControl/>
              <w:kinsoku/>
              <w:wordWrap/>
              <w:overflowPunct/>
              <w:topLinePunct w:val="0"/>
              <w:bidi w:val="0"/>
              <w:spacing w:beforeAutospacing="0" w:afterAutospacing="0"/>
              <w:jc w:val="both"/>
              <w:rPr>
                <w:rFonts w:hint="eastAsia" w:ascii="方正仿宋简体" w:hAnsi="方正仿宋简体" w:eastAsia="方正仿宋_GBK" w:cs="方正仿宋简体"/>
                <w:color w:val="auto"/>
                <w:kern w:val="0"/>
                <w:sz w:val="21"/>
                <w:szCs w:val="21"/>
                <w:lang w:val="en-US" w:eastAsia="zh-CN" w:bidi="ar-SA"/>
              </w:rPr>
            </w:pPr>
          </w:p>
        </w:tc>
        <w:tc>
          <w:tcPr>
            <w:tcW w:w="1776" w:type="dxa"/>
            <w:gridSpan w:val="2"/>
            <w:vMerge w:val="continue"/>
            <w:shd w:val="clear" w:color="auto" w:fill="auto"/>
            <w:vAlign w:val="center"/>
          </w:tcPr>
          <w:p w14:paraId="3296CEFC">
            <w:pPr>
              <w:pageBreakBefore w:val="0"/>
              <w:widowControl/>
              <w:kinsoku/>
              <w:wordWrap/>
              <w:overflowPunct/>
              <w:topLinePunct w:val="0"/>
              <w:bidi w:val="0"/>
              <w:spacing w:beforeAutospacing="0" w:afterAutospacing="0"/>
              <w:jc w:val="both"/>
              <w:rPr>
                <w:rFonts w:hint="eastAsia" w:ascii="方正仿宋简体" w:hAnsi="方正仿宋简体" w:eastAsia="方正仿宋简体" w:cs="方正仿宋简体"/>
                <w:color w:val="auto"/>
                <w:kern w:val="0"/>
                <w:sz w:val="21"/>
                <w:szCs w:val="21"/>
                <w:lang w:val="en-US" w:eastAsia="zh-CN" w:bidi="ar-SA"/>
              </w:rPr>
            </w:pPr>
          </w:p>
        </w:tc>
        <w:tc>
          <w:tcPr>
            <w:tcW w:w="1191" w:type="dxa"/>
            <w:shd w:val="clear" w:color="auto" w:fill="auto"/>
            <w:vAlign w:val="center"/>
          </w:tcPr>
          <w:p w14:paraId="2E26EB3F">
            <w:pPr>
              <w:pageBreakBefore w:val="0"/>
              <w:widowControl/>
              <w:kinsoku/>
              <w:wordWrap/>
              <w:overflowPunct/>
              <w:topLinePunct w:val="0"/>
              <w:bidi w:val="0"/>
              <w:spacing w:beforeAutospacing="0" w:afterAutospacing="0"/>
              <w:jc w:val="center"/>
              <w:rPr>
                <w:rFonts w:hint="eastAsia" w:ascii="方正仿宋简体" w:hAnsi="方正仿宋简体" w:eastAsia="方正仿宋简体" w:cs="方正仿宋简体"/>
                <w:color w:val="auto"/>
                <w:kern w:val="0"/>
                <w:sz w:val="21"/>
                <w:szCs w:val="21"/>
                <w:lang w:val="en-US" w:eastAsia="zh-CN" w:bidi="ar-SA"/>
              </w:rPr>
            </w:pPr>
            <w:r>
              <w:rPr>
                <w:rFonts w:hint="eastAsia" w:ascii="方正仿宋简体" w:hAnsi="方正仿宋简体" w:eastAsia="方正仿宋简体" w:cs="方正仿宋简体"/>
                <w:color w:val="auto"/>
                <w:kern w:val="0"/>
                <w:sz w:val="21"/>
                <w:szCs w:val="21"/>
                <w:lang w:val="en-US" w:eastAsia="zh-CN" w:bidi="ar-SA"/>
              </w:rPr>
              <w:t>较重</w:t>
            </w:r>
          </w:p>
        </w:tc>
        <w:tc>
          <w:tcPr>
            <w:tcW w:w="4252" w:type="dxa"/>
            <w:shd w:val="clear" w:color="auto" w:fill="auto"/>
            <w:vAlign w:val="center"/>
          </w:tcPr>
          <w:p w14:paraId="099C5453">
            <w:pPr>
              <w:pageBreakBefore w:val="0"/>
              <w:widowControl/>
              <w:kinsoku/>
              <w:wordWrap/>
              <w:overflowPunct/>
              <w:topLinePunct w:val="0"/>
              <w:bidi w:val="0"/>
              <w:spacing w:beforeAutospacing="0" w:afterAutospacing="0"/>
              <w:jc w:val="both"/>
              <w:rPr>
                <w:rFonts w:hint="eastAsia" w:ascii="方正仿宋简体" w:hAnsi="方正仿宋简体" w:eastAsia="方正仿宋简体" w:cs="方正仿宋简体"/>
                <w:color w:val="auto"/>
                <w:kern w:val="0"/>
                <w:sz w:val="21"/>
                <w:szCs w:val="21"/>
                <w:lang w:val="en-US" w:eastAsia="zh-CN" w:bidi="ar-SA"/>
              </w:rPr>
            </w:pPr>
            <w:r>
              <w:rPr>
                <w:rFonts w:hint="eastAsia" w:ascii="方正仿宋简体" w:hAnsi="方正仿宋简体" w:eastAsia="方正仿宋_GBK" w:cs="方正仿宋简体"/>
                <w:color w:val="auto"/>
                <w:kern w:val="0"/>
                <w:sz w:val="21"/>
                <w:szCs w:val="21"/>
                <w:lang w:val="en-US" w:eastAsia="zh-CN" w:bidi="ar-SA"/>
              </w:rPr>
              <w:t>建筑总面积五千平方米以上、不足二万平方米的</w:t>
            </w:r>
          </w:p>
        </w:tc>
        <w:tc>
          <w:tcPr>
            <w:tcW w:w="1701" w:type="dxa"/>
            <w:shd w:val="clear" w:color="auto" w:fill="auto"/>
            <w:vAlign w:val="center"/>
          </w:tcPr>
          <w:p w14:paraId="30F517D4">
            <w:pPr>
              <w:pageBreakBefore w:val="0"/>
              <w:widowControl/>
              <w:kinsoku/>
              <w:wordWrap/>
              <w:overflowPunct/>
              <w:topLinePunct w:val="0"/>
              <w:bidi w:val="0"/>
              <w:spacing w:beforeAutospacing="0" w:afterAutospacing="0"/>
              <w:jc w:val="both"/>
              <w:rPr>
                <w:rFonts w:hint="eastAsia" w:ascii="方正仿宋简体" w:hAnsi="方正仿宋简体" w:eastAsia="方正仿宋简体" w:cs="方正仿宋简体"/>
                <w:color w:val="auto"/>
                <w:kern w:val="0"/>
                <w:sz w:val="21"/>
                <w:szCs w:val="21"/>
                <w:lang w:val="en-US" w:eastAsia="zh-CN" w:bidi="ar-SA"/>
              </w:rPr>
            </w:pPr>
            <w:r>
              <w:rPr>
                <w:rFonts w:hint="eastAsia" w:ascii="方正仿宋简体" w:hAnsi="方正仿宋简体" w:eastAsia="方正仿宋_GBK" w:cs="方正仿宋简体"/>
                <w:color w:val="auto"/>
                <w:kern w:val="0"/>
                <w:sz w:val="21"/>
                <w:szCs w:val="21"/>
                <w:lang w:val="en-US" w:eastAsia="zh-CN" w:bidi="ar-SA"/>
              </w:rPr>
              <w:t>处三万元以上七万元以下罚款</w:t>
            </w:r>
          </w:p>
        </w:tc>
        <w:tc>
          <w:tcPr>
            <w:tcW w:w="1191" w:type="dxa"/>
            <w:vMerge w:val="continue"/>
            <w:shd w:val="clear" w:color="auto" w:fill="auto"/>
            <w:vAlign w:val="center"/>
          </w:tcPr>
          <w:p w14:paraId="1D1F1C38">
            <w:pPr>
              <w:pageBreakBefore w:val="0"/>
              <w:widowControl/>
              <w:kinsoku/>
              <w:wordWrap/>
              <w:overflowPunct/>
              <w:topLinePunct w:val="0"/>
              <w:bidi w:val="0"/>
              <w:spacing w:beforeAutospacing="0" w:afterAutospacing="0"/>
              <w:jc w:val="both"/>
              <w:rPr>
                <w:rFonts w:hint="eastAsia" w:ascii="方正仿宋简体" w:hAnsi="方正仿宋简体" w:eastAsia="方正仿宋_GBK" w:cs="方正仿宋简体"/>
                <w:color w:val="auto"/>
                <w:kern w:val="0"/>
                <w:sz w:val="21"/>
                <w:szCs w:val="21"/>
                <w:lang w:val="en-US" w:eastAsia="zh-CN" w:bidi="ar-SA"/>
              </w:rPr>
            </w:pPr>
          </w:p>
        </w:tc>
      </w:tr>
      <w:tr w14:paraId="53228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33" w:hRule="atLeast"/>
          <w:jc w:val="center"/>
        </w:trPr>
        <w:tc>
          <w:tcPr>
            <w:tcW w:w="680" w:type="dxa"/>
            <w:vMerge w:val="continue"/>
            <w:shd w:val="clear" w:color="auto" w:fill="auto"/>
            <w:vAlign w:val="center"/>
          </w:tcPr>
          <w:p w14:paraId="03AD6B03">
            <w:pPr>
              <w:pageBreakBefore w:val="0"/>
              <w:widowControl/>
              <w:kinsoku/>
              <w:wordWrap/>
              <w:overflowPunct/>
              <w:topLinePunct w:val="0"/>
              <w:bidi w:val="0"/>
              <w:spacing w:beforeAutospacing="0" w:afterAutospacing="0"/>
              <w:jc w:val="center"/>
              <w:rPr>
                <w:rFonts w:hint="eastAsia" w:ascii="方正仿宋简体" w:hAnsi="方正仿宋简体" w:eastAsia="方正仿宋简体" w:cs="方正仿宋简体"/>
                <w:color w:val="auto"/>
                <w:kern w:val="0"/>
                <w:sz w:val="21"/>
                <w:szCs w:val="21"/>
                <w:lang w:val="en-US" w:eastAsia="zh-CN" w:bidi="ar-SA"/>
              </w:rPr>
            </w:pPr>
          </w:p>
        </w:tc>
        <w:tc>
          <w:tcPr>
            <w:tcW w:w="1166" w:type="dxa"/>
            <w:vMerge w:val="continue"/>
            <w:shd w:val="clear" w:color="auto" w:fill="auto"/>
            <w:vAlign w:val="center"/>
          </w:tcPr>
          <w:p w14:paraId="30E6B543">
            <w:pPr>
              <w:pageBreakBefore w:val="0"/>
              <w:widowControl/>
              <w:kinsoku/>
              <w:wordWrap/>
              <w:overflowPunct/>
              <w:topLinePunct w:val="0"/>
              <w:bidi w:val="0"/>
              <w:spacing w:beforeAutospacing="0" w:afterAutospacing="0"/>
              <w:jc w:val="center"/>
              <w:rPr>
                <w:rFonts w:hint="eastAsia" w:ascii="方正仿宋简体" w:hAnsi="方正仿宋简体" w:eastAsia="方正仿宋简体" w:cs="方正仿宋简体"/>
                <w:color w:val="auto"/>
                <w:kern w:val="0"/>
                <w:sz w:val="21"/>
                <w:szCs w:val="21"/>
                <w:lang w:val="en-US" w:eastAsia="zh-CN" w:bidi="ar-SA"/>
              </w:rPr>
            </w:pPr>
          </w:p>
        </w:tc>
        <w:tc>
          <w:tcPr>
            <w:tcW w:w="1329" w:type="dxa"/>
            <w:vMerge w:val="continue"/>
            <w:shd w:val="clear" w:color="auto" w:fill="auto"/>
            <w:vAlign w:val="center"/>
          </w:tcPr>
          <w:p w14:paraId="09FA86F6">
            <w:pPr>
              <w:pageBreakBefore w:val="0"/>
              <w:widowControl/>
              <w:kinsoku/>
              <w:wordWrap/>
              <w:overflowPunct/>
              <w:topLinePunct w:val="0"/>
              <w:bidi w:val="0"/>
              <w:spacing w:beforeAutospacing="0" w:afterAutospacing="0"/>
              <w:jc w:val="both"/>
              <w:rPr>
                <w:rFonts w:hint="eastAsia" w:ascii="方正仿宋简体" w:hAnsi="方正仿宋简体" w:eastAsia="方正仿宋_GBK" w:cs="方正仿宋简体"/>
                <w:color w:val="auto"/>
                <w:kern w:val="0"/>
                <w:sz w:val="21"/>
                <w:szCs w:val="21"/>
                <w:lang w:val="en-US" w:eastAsia="zh-CN" w:bidi="ar-SA"/>
              </w:rPr>
            </w:pPr>
          </w:p>
        </w:tc>
        <w:tc>
          <w:tcPr>
            <w:tcW w:w="1626" w:type="dxa"/>
            <w:vMerge w:val="continue"/>
            <w:shd w:val="clear" w:color="auto" w:fill="auto"/>
            <w:vAlign w:val="center"/>
          </w:tcPr>
          <w:p w14:paraId="3D1E7AF5">
            <w:pPr>
              <w:pageBreakBefore w:val="0"/>
              <w:widowControl/>
              <w:kinsoku/>
              <w:wordWrap/>
              <w:overflowPunct/>
              <w:topLinePunct w:val="0"/>
              <w:bidi w:val="0"/>
              <w:spacing w:beforeAutospacing="0" w:afterAutospacing="0"/>
              <w:jc w:val="both"/>
              <w:rPr>
                <w:rFonts w:hint="eastAsia" w:ascii="方正仿宋简体" w:hAnsi="方正仿宋简体" w:eastAsia="方正仿宋_GBK" w:cs="方正仿宋简体"/>
                <w:color w:val="auto"/>
                <w:kern w:val="0"/>
                <w:sz w:val="21"/>
                <w:szCs w:val="21"/>
                <w:lang w:val="en-US" w:eastAsia="zh-CN" w:bidi="ar-SA"/>
              </w:rPr>
            </w:pPr>
          </w:p>
        </w:tc>
        <w:tc>
          <w:tcPr>
            <w:tcW w:w="1776" w:type="dxa"/>
            <w:gridSpan w:val="2"/>
            <w:vMerge w:val="continue"/>
            <w:shd w:val="clear" w:color="auto" w:fill="auto"/>
            <w:vAlign w:val="center"/>
          </w:tcPr>
          <w:p w14:paraId="73687EAD">
            <w:pPr>
              <w:pageBreakBefore w:val="0"/>
              <w:widowControl/>
              <w:kinsoku/>
              <w:wordWrap/>
              <w:overflowPunct/>
              <w:topLinePunct w:val="0"/>
              <w:bidi w:val="0"/>
              <w:spacing w:beforeAutospacing="0" w:afterAutospacing="0"/>
              <w:jc w:val="both"/>
              <w:rPr>
                <w:rFonts w:hint="eastAsia" w:ascii="方正仿宋简体" w:hAnsi="方正仿宋简体" w:eastAsia="方正仿宋简体" w:cs="方正仿宋简体"/>
                <w:color w:val="auto"/>
                <w:kern w:val="0"/>
                <w:sz w:val="21"/>
                <w:szCs w:val="21"/>
                <w:lang w:val="en-US" w:eastAsia="zh-CN" w:bidi="ar-SA"/>
              </w:rPr>
            </w:pPr>
          </w:p>
        </w:tc>
        <w:tc>
          <w:tcPr>
            <w:tcW w:w="1191" w:type="dxa"/>
            <w:shd w:val="clear" w:color="auto" w:fill="auto"/>
            <w:vAlign w:val="center"/>
          </w:tcPr>
          <w:p w14:paraId="30A0CBE4">
            <w:pPr>
              <w:pageBreakBefore w:val="0"/>
              <w:widowControl/>
              <w:kinsoku/>
              <w:wordWrap/>
              <w:overflowPunct/>
              <w:topLinePunct w:val="0"/>
              <w:bidi w:val="0"/>
              <w:spacing w:beforeAutospacing="0" w:afterAutospacing="0"/>
              <w:jc w:val="center"/>
              <w:rPr>
                <w:rFonts w:hint="eastAsia" w:ascii="方正仿宋简体" w:hAnsi="方正仿宋简体" w:eastAsia="方正仿宋简体" w:cs="方正仿宋简体"/>
                <w:color w:val="auto"/>
                <w:kern w:val="0"/>
                <w:sz w:val="21"/>
                <w:szCs w:val="21"/>
                <w:lang w:val="en-US" w:eastAsia="zh-CN" w:bidi="ar-SA"/>
              </w:rPr>
            </w:pPr>
            <w:r>
              <w:rPr>
                <w:rFonts w:hint="eastAsia" w:ascii="方正仿宋简体" w:hAnsi="方正仿宋简体" w:eastAsia="方正仿宋简体" w:cs="方正仿宋简体"/>
                <w:color w:val="auto"/>
                <w:kern w:val="0"/>
                <w:sz w:val="21"/>
                <w:szCs w:val="21"/>
                <w:lang w:val="en-US" w:eastAsia="zh-CN" w:bidi="ar-SA"/>
              </w:rPr>
              <w:t>严重</w:t>
            </w:r>
          </w:p>
        </w:tc>
        <w:tc>
          <w:tcPr>
            <w:tcW w:w="4252" w:type="dxa"/>
            <w:shd w:val="clear" w:color="auto" w:fill="auto"/>
            <w:vAlign w:val="center"/>
          </w:tcPr>
          <w:p w14:paraId="55282CF7">
            <w:pPr>
              <w:pageBreakBefore w:val="0"/>
              <w:widowControl/>
              <w:kinsoku/>
              <w:wordWrap/>
              <w:overflowPunct/>
              <w:topLinePunct w:val="0"/>
              <w:bidi w:val="0"/>
              <w:spacing w:beforeAutospacing="0" w:afterAutospacing="0"/>
              <w:jc w:val="both"/>
              <w:rPr>
                <w:rFonts w:hint="eastAsia" w:ascii="方正仿宋简体" w:hAnsi="方正仿宋简体" w:eastAsia="方正仿宋简体" w:cs="方正仿宋简体"/>
                <w:color w:val="auto"/>
                <w:kern w:val="0"/>
                <w:sz w:val="21"/>
                <w:szCs w:val="21"/>
                <w:lang w:val="en-US" w:eastAsia="zh-CN" w:bidi="ar-SA"/>
              </w:rPr>
            </w:pPr>
            <w:r>
              <w:rPr>
                <w:rFonts w:hint="eastAsia" w:ascii="方正仿宋简体" w:hAnsi="方正仿宋简体" w:eastAsia="方正仿宋_GBK" w:cs="方正仿宋简体"/>
                <w:color w:val="auto"/>
                <w:kern w:val="0"/>
                <w:sz w:val="21"/>
                <w:szCs w:val="21"/>
                <w:lang w:val="en-US" w:eastAsia="zh-CN" w:bidi="ar-SA"/>
              </w:rPr>
              <w:t>建筑总面积二万平方米以上的</w:t>
            </w:r>
          </w:p>
        </w:tc>
        <w:tc>
          <w:tcPr>
            <w:tcW w:w="1701" w:type="dxa"/>
            <w:shd w:val="clear" w:color="auto" w:fill="auto"/>
            <w:vAlign w:val="center"/>
          </w:tcPr>
          <w:p w14:paraId="798AD8FA">
            <w:pPr>
              <w:pageBreakBefore w:val="0"/>
              <w:widowControl/>
              <w:kinsoku/>
              <w:wordWrap/>
              <w:overflowPunct/>
              <w:topLinePunct w:val="0"/>
              <w:bidi w:val="0"/>
              <w:spacing w:beforeAutospacing="0" w:afterAutospacing="0"/>
              <w:jc w:val="both"/>
              <w:rPr>
                <w:rFonts w:hint="eastAsia" w:ascii="方正仿宋简体" w:hAnsi="方正仿宋简体" w:eastAsia="方正仿宋简体" w:cs="方正仿宋简体"/>
                <w:color w:val="auto"/>
                <w:kern w:val="0"/>
                <w:sz w:val="21"/>
                <w:szCs w:val="21"/>
                <w:lang w:val="en-US" w:eastAsia="zh-CN" w:bidi="ar-SA"/>
              </w:rPr>
            </w:pPr>
            <w:r>
              <w:rPr>
                <w:rFonts w:hint="eastAsia" w:ascii="方正仿宋简体" w:hAnsi="方正仿宋简体" w:eastAsia="方正仿宋_GBK" w:cs="方正仿宋简体"/>
                <w:color w:val="auto"/>
                <w:kern w:val="0"/>
                <w:sz w:val="21"/>
                <w:szCs w:val="21"/>
                <w:lang w:val="en-US" w:eastAsia="zh-CN" w:bidi="ar-SA"/>
              </w:rPr>
              <w:t>处七万元以上十万元以下罚款</w:t>
            </w:r>
          </w:p>
        </w:tc>
        <w:tc>
          <w:tcPr>
            <w:tcW w:w="1191" w:type="dxa"/>
            <w:vMerge w:val="continue"/>
            <w:shd w:val="clear" w:color="auto" w:fill="auto"/>
            <w:vAlign w:val="center"/>
          </w:tcPr>
          <w:p w14:paraId="7FF44F45">
            <w:pPr>
              <w:pageBreakBefore w:val="0"/>
              <w:widowControl/>
              <w:kinsoku/>
              <w:wordWrap/>
              <w:overflowPunct/>
              <w:topLinePunct w:val="0"/>
              <w:bidi w:val="0"/>
              <w:spacing w:beforeAutospacing="0" w:afterAutospacing="0"/>
              <w:jc w:val="both"/>
              <w:rPr>
                <w:rFonts w:hint="eastAsia" w:ascii="方正仿宋简体" w:hAnsi="方正仿宋简体" w:eastAsia="方正仿宋_GBK" w:cs="方正仿宋简体"/>
                <w:color w:val="auto"/>
                <w:kern w:val="0"/>
                <w:sz w:val="21"/>
                <w:szCs w:val="21"/>
                <w:lang w:val="en-US" w:eastAsia="zh-CN" w:bidi="ar-SA"/>
              </w:rPr>
            </w:pPr>
          </w:p>
        </w:tc>
      </w:tr>
    </w:tbl>
    <w:p w14:paraId="41F72001"/>
    <w:sectPr>
      <w:pgSz w:w="16838" w:h="11906" w:orient="landscape"/>
      <w:pgMar w:top="567" w:right="567" w:bottom="567" w:left="56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仿宋简体">
    <w:altName w:val="方正仿宋_GBK"/>
    <w:panose1 w:val="02000000000000000000"/>
    <w:charset w:val="86"/>
    <w:family w:val="auto"/>
    <w:pitch w:val="default"/>
    <w:sig w:usb0="00000000" w:usb1="00000000" w:usb2="00000012"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283AF7"/>
    <w:rsid w:val="067D6048"/>
    <w:rsid w:val="08A41116"/>
    <w:rsid w:val="10004821"/>
    <w:rsid w:val="14731C8B"/>
    <w:rsid w:val="2E113597"/>
    <w:rsid w:val="39206E75"/>
    <w:rsid w:val="3D311273"/>
    <w:rsid w:val="44B85E3C"/>
    <w:rsid w:val="538507D4"/>
    <w:rsid w:val="6A283AF7"/>
    <w:rsid w:val="7FEB70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snapToGrid w:val="0"/>
      <w:spacing w:before="0" w:beforeLines="0" w:beforeAutospacing="0" w:after="0" w:afterLines="0" w:afterAutospacing="0" w:line="240" w:lineRule="auto"/>
      <w:outlineLvl w:val="0"/>
    </w:pPr>
    <w:rPr>
      <w:b/>
      <w:kern w:val="44"/>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spacing w:after="120" w:afterLines="0" w:afterAutospacing="0"/>
      <w:ind w:left="420" w:leftChars="200"/>
    </w:p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EEACA"/>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5251</Words>
  <Characters>5254</Characters>
  <Lines>0</Lines>
  <Paragraphs>0</Paragraphs>
  <TotalTime>9</TotalTime>
  <ScaleCrop>false</ScaleCrop>
  <LinksUpToDate>false</LinksUpToDate>
  <CharactersWithSpaces>5269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2025-04-10T20:35:00Z</dcterms:created>
  <dc:creator>裴韬</dc:creator>
  <cp:lastModifiedBy>涓滴</cp:lastModifiedBy>
  <dcterms:modified xsi:type="dcterms:W3CDTF">2025-05-15T03:32:32Z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42B2DCD02B8299C63A83F867BAA8D594_43</vt:lpwstr>
  </property>
  <property fmtid="{D5CDD505-2E9C-101B-9397-08002B2CF9AE}" pid="4" name="KSOTemplateDocerSaveRecord">
    <vt:lpwstr>eyJoZGlkIjoiNzVjMDM0ODM5ZTM5OGU0YTM1NTFiMmMwM2M1NjRkN2EiLCJ1c2VySWQiOiIzMDY4NTQxNTUifQ==</vt:lpwstr>
  </property>
</Properties>
</file>