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723" w:firstLineChars="200"/>
        <w:jc w:val="center"/>
        <w:rPr>
          <w:rFonts w:cs="宋体" w:asciiTheme="minorEastAsia" w:hAnsiTheme="minorEastAsia" w:eastAsiaTheme="minorEastAsia"/>
          <w:color w:val="000000"/>
          <w:kern w:val="0"/>
          <w:sz w:val="36"/>
          <w:szCs w:val="36"/>
        </w:rPr>
      </w:pPr>
      <w:r>
        <w:rPr>
          <w:rFonts w:hint="eastAsia" w:cs="宋体" w:asciiTheme="minorEastAsia" w:hAnsiTheme="minorEastAsia" w:eastAsiaTheme="minorEastAsia"/>
          <w:b/>
          <w:color w:val="000000"/>
          <w:kern w:val="0"/>
          <w:sz w:val="36"/>
          <w:szCs w:val="36"/>
        </w:rPr>
        <w:t>第一部分   部门概况</w:t>
      </w:r>
    </w:p>
    <w:p>
      <w:pPr>
        <w:pStyle w:val="8"/>
        <w:widowControl/>
        <w:numPr>
          <w:ilvl w:val="0"/>
          <w:numId w:val="1"/>
        </w:numPr>
        <w:spacing w:line="360" w:lineRule="auto"/>
        <w:ind w:firstLineChars="0"/>
        <w:jc w:val="left"/>
        <w:rPr>
          <w:rFonts w:cs="宋体" w:asciiTheme="minorEastAsia" w:hAnsiTheme="minorEastAsia" w:eastAsiaTheme="minorEastAsia"/>
          <w:b/>
          <w:color w:val="000000"/>
          <w:kern w:val="0"/>
          <w:sz w:val="30"/>
          <w:szCs w:val="30"/>
        </w:rPr>
      </w:pPr>
      <w:r>
        <w:rPr>
          <w:rFonts w:hint="eastAsia" w:cs="宋体" w:asciiTheme="minorEastAsia" w:hAnsiTheme="minorEastAsia" w:eastAsiaTheme="minorEastAsia"/>
          <w:b/>
          <w:color w:val="000000"/>
          <w:kern w:val="0"/>
          <w:sz w:val="30"/>
          <w:szCs w:val="30"/>
        </w:rPr>
        <w:t>部门职责和机构设置</w:t>
      </w:r>
    </w:p>
    <w:p>
      <w:pPr>
        <w:widowControl/>
        <w:ind w:firstLine="600" w:firstLineChars="200"/>
        <w:jc w:val="left"/>
        <w:rPr>
          <w:rFonts w:cs="宋体" w:asciiTheme="minorEastAsia" w:hAnsiTheme="minorEastAsia" w:eastAsiaTheme="minorEastAsia"/>
          <w:b/>
          <w:color w:val="000000"/>
          <w:kern w:val="0"/>
          <w:sz w:val="30"/>
          <w:szCs w:val="30"/>
        </w:rPr>
      </w:pPr>
      <w:r>
        <w:rPr>
          <w:rFonts w:hint="eastAsia" w:asciiTheme="minorEastAsia" w:hAnsiTheme="minorEastAsia" w:eastAsiaTheme="minorEastAsia"/>
          <w:sz w:val="30"/>
          <w:szCs w:val="30"/>
        </w:rPr>
        <w:t>根据邯郸市人民政府《关于市政府机构设置的通知》（[2010]2号），邯郸市住房保障和房产管理局为市政府直属事业机构，其主要职责如下：</w:t>
      </w:r>
    </w:p>
    <w:p>
      <w:pPr>
        <w:ind w:firstLine="600" w:firstLineChars="200"/>
        <w:rPr>
          <w:rFonts w:asciiTheme="minorEastAsia" w:hAnsiTheme="minorEastAsia" w:eastAsiaTheme="minorEastAsia"/>
          <w:sz w:val="30"/>
          <w:szCs w:val="30"/>
        </w:rPr>
      </w:pPr>
      <w:r>
        <w:rPr>
          <w:rFonts w:hint="eastAsia" w:asciiTheme="minorEastAsia" w:hAnsiTheme="minorEastAsia" w:eastAsiaTheme="minorEastAsia"/>
          <w:sz w:val="30"/>
          <w:szCs w:val="30"/>
        </w:rPr>
        <w:t>(一）贯彻执行国家、省住房保障、住房制度改革及房地产管理的法律、法规、规章和方针、政策；研究起草本市住房保障、住房制度改革及房地产管理方面的地方性法规、规章、规范性文件和政策；研究制定全市住房保障发展规划，并组织实施。</w:t>
      </w:r>
    </w:p>
    <w:p>
      <w:pPr>
        <w:ind w:firstLine="600" w:firstLineChars="200"/>
        <w:rPr>
          <w:rFonts w:asciiTheme="minorEastAsia" w:hAnsiTheme="minorEastAsia" w:eastAsiaTheme="minorEastAsia"/>
          <w:sz w:val="30"/>
          <w:szCs w:val="30"/>
        </w:rPr>
      </w:pPr>
      <w:r>
        <w:rPr>
          <w:rFonts w:hint="eastAsia" w:asciiTheme="minorEastAsia" w:hAnsiTheme="minorEastAsia" w:eastAsiaTheme="minorEastAsia"/>
          <w:sz w:val="30"/>
          <w:szCs w:val="30"/>
        </w:rPr>
        <w:t>（二）负责全市住房保障工作。建立和完善住房保障体系，编制廉租住房和经济适用住房年度计划,负责住房保资金管理工作，并协同有关部门编制本市住宅建设中长期规划和年度计划。</w:t>
      </w:r>
    </w:p>
    <w:p>
      <w:pPr>
        <w:ind w:firstLine="600" w:firstLineChars="200"/>
        <w:rPr>
          <w:rFonts w:asciiTheme="minorEastAsia" w:hAnsiTheme="minorEastAsia" w:eastAsiaTheme="minorEastAsia"/>
          <w:sz w:val="30"/>
          <w:szCs w:val="30"/>
        </w:rPr>
      </w:pPr>
      <w:r>
        <w:rPr>
          <w:rFonts w:hint="eastAsia" w:asciiTheme="minorEastAsia" w:hAnsiTheme="minorEastAsia" w:eastAsiaTheme="minorEastAsia"/>
          <w:sz w:val="30"/>
          <w:szCs w:val="30"/>
        </w:rPr>
        <w:t>（三）建立完善房屋登记、房产测绘、房产档案管理制度，依法开展主城区国有土地上房屋所有权登记、抵押权登记、地役权登记、预告登记等，组织开展集体土地范围内房屋登记。</w:t>
      </w:r>
    </w:p>
    <w:p>
      <w:pPr>
        <w:ind w:firstLine="600" w:firstLineChars="200"/>
        <w:rPr>
          <w:rFonts w:asciiTheme="minorEastAsia" w:hAnsiTheme="minorEastAsia" w:eastAsiaTheme="minorEastAsia"/>
          <w:sz w:val="30"/>
          <w:szCs w:val="30"/>
        </w:rPr>
      </w:pPr>
      <w:r>
        <w:rPr>
          <w:rFonts w:hint="eastAsia" w:asciiTheme="minorEastAsia" w:hAnsiTheme="minorEastAsia" w:eastAsiaTheme="minorEastAsia"/>
          <w:sz w:val="30"/>
          <w:szCs w:val="30"/>
        </w:rPr>
        <w:t>（四）负责全市房产交易市场管理。建立完善房地产转让、房地产抵押、房屋租赁管理制度；负责商品房预（销）售管理工作；负责房地产业交易行为、房地产交易资金监管工作;负责房地产估价、房地产经纪、房地产咨询相关的行业管理工作。</w:t>
      </w:r>
    </w:p>
    <w:p>
      <w:pPr>
        <w:ind w:firstLine="600" w:firstLineChars="200"/>
        <w:rPr>
          <w:rFonts w:asciiTheme="minorEastAsia" w:hAnsiTheme="minorEastAsia" w:eastAsiaTheme="minorEastAsia"/>
          <w:sz w:val="30"/>
          <w:szCs w:val="30"/>
        </w:rPr>
      </w:pPr>
      <w:r>
        <w:rPr>
          <w:rFonts w:hint="eastAsia" w:asciiTheme="minorEastAsia" w:hAnsiTheme="minorEastAsia" w:eastAsiaTheme="minorEastAsia"/>
          <w:sz w:val="30"/>
          <w:szCs w:val="30"/>
        </w:rPr>
        <w:t>（五）负责全市物业管理工作。负责物业服务企业资质审查发证工作；会同有关部门制定物业服务企业的收费标准；负责住宅专项维修资金的管理、使用。</w:t>
      </w:r>
    </w:p>
    <w:p>
      <w:pPr>
        <w:ind w:firstLine="600" w:firstLineChars="200"/>
        <w:rPr>
          <w:rFonts w:asciiTheme="minorEastAsia" w:hAnsiTheme="minorEastAsia" w:eastAsiaTheme="minorEastAsia"/>
          <w:sz w:val="30"/>
          <w:szCs w:val="30"/>
        </w:rPr>
      </w:pPr>
      <w:r>
        <w:rPr>
          <w:rFonts w:hint="eastAsia" w:asciiTheme="minorEastAsia" w:hAnsiTheme="minorEastAsia" w:eastAsiaTheme="minorEastAsia"/>
          <w:sz w:val="30"/>
          <w:szCs w:val="30"/>
        </w:rPr>
        <w:t>（六）负责全市住房制度改革工作。研究拟定全市住房制度改革的政策和方案，并组织实施；指导县（市）区住房制度改革工作。</w:t>
      </w:r>
    </w:p>
    <w:p>
      <w:pPr>
        <w:ind w:firstLine="600" w:firstLineChars="200"/>
        <w:rPr>
          <w:rFonts w:asciiTheme="minorEastAsia" w:hAnsiTheme="minorEastAsia" w:eastAsiaTheme="minorEastAsia"/>
          <w:sz w:val="30"/>
          <w:szCs w:val="30"/>
        </w:rPr>
      </w:pPr>
      <w:r>
        <w:rPr>
          <w:rFonts w:hint="eastAsia" w:asciiTheme="minorEastAsia" w:hAnsiTheme="minorEastAsia" w:eastAsiaTheme="minorEastAsia"/>
          <w:sz w:val="30"/>
          <w:szCs w:val="30"/>
        </w:rPr>
        <w:t>（七）负责全市房屋安全管理和住宅室内装饰装修管理工作；负责直管公房的租赁、经营、修缮、服务、庭院管理工作。</w:t>
      </w:r>
    </w:p>
    <w:p>
      <w:pPr>
        <w:ind w:firstLine="600" w:firstLineChars="200"/>
        <w:rPr>
          <w:rFonts w:asciiTheme="minorEastAsia" w:hAnsiTheme="minorEastAsia" w:eastAsiaTheme="minorEastAsia"/>
          <w:sz w:val="30"/>
          <w:szCs w:val="30"/>
        </w:rPr>
      </w:pPr>
      <w:r>
        <w:rPr>
          <w:rFonts w:hint="eastAsia" w:asciiTheme="minorEastAsia" w:hAnsiTheme="minorEastAsia" w:eastAsiaTheme="minorEastAsia"/>
          <w:sz w:val="30"/>
          <w:szCs w:val="30"/>
        </w:rPr>
        <w:t>（八）负责主城区房产行政执法工作。加强住房保障和房产管理综合执法工作，依法对住房保障、房产交易、物业管理、住宅室内装饰装修、房屋安全管理等违法违规行为进行行政处罚；指导监督县（市）区房产行政执法工作。</w:t>
      </w:r>
    </w:p>
    <w:p>
      <w:pPr>
        <w:ind w:firstLine="600" w:firstLineChars="200"/>
        <w:rPr>
          <w:rFonts w:asciiTheme="minorEastAsia" w:hAnsiTheme="minorEastAsia" w:eastAsiaTheme="minorEastAsia"/>
          <w:sz w:val="30"/>
          <w:szCs w:val="30"/>
        </w:rPr>
      </w:pPr>
      <w:r>
        <w:rPr>
          <w:rFonts w:hint="eastAsia" w:asciiTheme="minorEastAsia" w:hAnsiTheme="minorEastAsia" w:eastAsiaTheme="minorEastAsia"/>
          <w:sz w:val="30"/>
          <w:szCs w:val="30"/>
        </w:rPr>
        <w:t>（九）负责住房保障和房产管理等方面的科技、教育工作。</w:t>
      </w:r>
    </w:p>
    <w:p>
      <w:pPr>
        <w:ind w:firstLine="600" w:firstLineChars="200"/>
        <w:rPr>
          <w:rFonts w:asciiTheme="minorEastAsia" w:hAnsiTheme="minorEastAsia" w:eastAsiaTheme="minorEastAsia"/>
          <w:sz w:val="30"/>
          <w:szCs w:val="30"/>
        </w:rPr>
      </w:pPr>
      <w:r>
        <w:rPr>
          <w:rFonts w:hint="eastAsia" w:asciiTheme="minorEastAsia" w:hAnsiTheme="minorEastAsia" w:eastAsiaTheme="minorEastAsia"/>
          <w:sz w:val="30"/>
          <w:szCs w:val="30"/>
        </w:rPr>
        <w:t>（十）参与住房保障和房屋管理有关资金的管理；参与公有住房租金调整。</w:t>
      </w:r>
    </w:p>
    <w:p>
      <w:pPr>
        <w:ind w:firstLine="600" w:firstLineChars="200"/>
        <w:rPr>
          <w:rFonts w:asciiTheme="minorEastAsia" w:hAnsiTheme="minorEastAsia" w:eastAsiaTheme="minorEastAsia"/>
          <w:sz w:val="30"/>
          <w:szCs w:val="30"/>
        </w:rPr>
      </w:pPr>
      <w:r>
        <w:rPr>
          <w:rFonts w:hint="eastAsia" w:asciiTheme="minorEastAsia" w:hAnsiTheme="minorEastAsia" w:eastAsiaTheme="minorEastAsia"/>
          <w:sz w:val="30"/>
          <w:szCs w:val="30"/>
        </w:rPr>
        <w:t>（十一）负责有关房产确权方面行政裁决、行政复议的受理和行政诉讼的应诉工作。</w:t>
      </w:r>
    </w:p>
    <w:p>
      <w:pPr>
        <w:ind w:firstLine="600" w:firstLineChars="200"/>
        <w:rPr>
          <w:rFonts w:asciiTheme="minorEastAsia" w:hAnsiTheme="minorEastAsia" w:eastAsiaTheme="minorEastAsia"/>
          <w:sz w:val="30"/>
          <w:szCs w:val="30"/>
        </w:rPr>
      </w:pPr>
      <w:r>
        <w:rPr>
          <w:rFonts w:hint="eastAsia" w:asciiTheme="minorEastAsia" w:hAnsiTheme="minorEastAsia" w:eastAsiaTheme="minorEastAsia"/>
          <w:sz w:val="30"/>
          <w:szCs w:val="30"/>
        </w:rPr>
        <w:t>（十二）负责房地产业协会、物业协会的监督指导工作。</w:t>
      </w:r>
    </w:p>
    <w:p>
      <w:pPr>
        <w:ind w:firstLine="600" w:firstLineChars="200"/>
        <w:rPr>
          <w:rFonts w:asciiTheme="minorEastAsia" w:hAnsiTheme="minorEastAsia" w:eastAsiaTheme="minorEastAsia"/>
          <w:sz w:val="30"/>
          <w:szCs w:val="30"/>
        </w:rPr>
      </w:pPr>
      <w:r>
        <w:rPr>
          <w:rFonts w:hint="eastAsia" w:asciiTheme="minorEastAsia" w:hAnsiTheme="minorEastAsia" w:eastAsiaTheme="minorEastAsia"/>
          <w:sz w:val="30"/>
          <w:szCs w:val="30"/>
        </w:rPr>
        <w:t>（十三）承办市人大代表建议和政协委员提案工作。</w:t>
      </w:r>
    </w:p>
    <w:p>
      <w:pPr>
        <w:ind w:firstLine="600" w:firstLineChars="200"/>
        <w:rPr>
          <w:rFonts w:asciiTheme="minorEastAsia" w:hAnsiTheme="minorEastAsia" w:eastAsiaTheme="minorEastAsia"/>
          <w:sz w:val="30"/>
          <w:szCs w:val="30"/>
        </w:rPr>
      </w:pPr>
      <w:r>
        <w:rPr>
          <w:rFonts w:hint="eastAsia" w:asciiTheme="minorEastAsia" w:hAnsiTheme="minorEastAsia" w:eastAsiaTheme="minorEastAsia"/>
          <w:sz w:val="30"/>
          <w:szCs w:val="30"/>
        </w:rPr>
        <w:t>（十四）完成市委、市政府交办的其他事项。</w:t>
      </w:r>
    </w:p>
    <w:p>
      <w:pPr>
        <w:ind w:firstLine="600" w:firstLineChars="200"/>
        <w:rPr>
          <w:rFonts w:asciiTheme="minorEastAsia" w:hAnsiTheme="minorEastAsia" w:eastAsiaTheme="minorEastAsia"/>
          <w:sz w:val="30"/>
          <w:szCs w:val="30"/>
        </w:rPr>
      </w:pPr>
      <w:r>
        <w:rPr>
          <w:rFonts w:hint="eastAsia" w:asciiTheme="minorEastAsia" w:hAnsiTheme="minorEastAsia" w:eastAsiaTheme="minorEastAsia"/>
          <w:sz w:val="30"/>
          <w:szCs w:val="30"/>
        </w:rPr>
        <w:t>新增加的职能：</w:t>
      </w:r>
    </w:p>
    <w:p>
      <w:pPr>
        <w:ind w:firstLine="600" w:firstLineChars="200"/>
        <w:rPr>
          <w:rFonts w:asciiTheme="minorEastAsia" w:hAnsiTheme="minorEastAsia" w:eastAsiaTheme="minorEastAsia"/>
          <w:sz w:val="30"/>
          <w:szCs w:val="30"/>
        </w:rPr>
      </w:pPr>
      <w:r>
        <w:rPr>
          <w:rFonts w:hint="eastAsia" w:asciiTheme="minorEastAsia" w:hAnsiTheme="minorEastAsia" w:eastAsiaTheme="minorEastAsia"/>
          <w:sz w:val="30"/>
          <w:szCs w:val="30"/>
        </w:rPr>
        <w:t>（十五）、负责全市的住房保障工作（冀政[2007]）95号）。</w:t>
      </w:r>
    </w:p>
    <w:p>
      <w:pPr>
        <w:ind w:firstLine="600" w:firstLineChars="200"/>
        <w:rPr>
          <w:rFonts w:asciiTheme="minorEastAsia" w:hAnsiTheme="minorEastAsia" w:eastAsiaTheme="minorEastAsia"/>
          <w:sz w:val="30"/>
          <w:szCs w:val="30"/>
        </w:rPr>
      </w:pPr>
      <w:r>
        <w:rPr>
          <w:rFonts w:hint="eastAsia" w:asciiTheme="minorEastAsia" w:hAnsiTheme="minorEastAsia" w:eastAsiaTheme="minorEastAsia"/>
          <w:sz w:val="30"/>
          <w:szCs w:val="30"/>
        </w:rPr>
        <w:t>（十六）、负责房地产交易资金监管工作（建住房[2006]321号）。</w:t>
      </w:r>
    </w:p>
    <w:p>
      <w:pPr>
        <w:spacing w:line="580" w:lineRule="atLeast"/>
        <w:ind w:firstLine="753" w:firstLineChars="250"/>
        <w:rPr>
          <w:rFonts w:asciiTheme="minorEastAsia" w:hAnsiTheme="minorEastAsia" w:eastAsiaTheme="minorEastAsia"/>
          <w:sz w:val="30"/>
          <w:szCs w:val="30"/>
        </w:rPr>
      </w:pPr>
      <w:r>
        <w:rPr>
          <w:rFonts w:hint="eastAsia" w:asciiTheme="minorEastAsia" w:hAnsiTheme="minorEastAsia" w:eastAsiaTheme="minorEastAsia"/>
          <w:b/>
          <w:sz w:val="30"/>
          <w:szCs w:val="30"/>
        </w:rPr>
        <w:t>我单位机构设置</w:t>
      </w:r>
      <w:r>
        <w:rPr>
          <w:rFonts w:hint="eastAsia" w:asciiTheme="minorEastAsia" w:hAnsiTheme="minorEastAsia" w:eastAsiaTheme="minorEastAsia"/>
          <w:sz w:val="30"/>
          <w:szCs w:val="30"/>
        </w:rPr>
        <w:t>为办公室、组织人事处、财务处、房产交易市场监管处、法规处、宣传信息处（机关党委）、离退休干部处、保障性住房管理处、物业处、工程与安全管理处。</w:t>
      </w:r>
    </w:p>
    <w:p>
      <w:pPr>
        <w:widowControl/>
        <w:ind w:left="602"/>
        <w:jc w:val="left"/>
        <w:rPr>
          <w:rFonts w:cs="宋体" w:asciiTheme="minorEastAsia" w:hAnsiTheme="minorEastAsia" w:eastAsiaTheme="minorEastAsia"/>
          <w:b/>
          <w:color w:val="000000"/>
          <w:kern w:val="0"/>
          <w:sz w:val="30"/>
          <w:szCs w:val="30"/>
        </w:rPr>
      </w:pPr>
      <w:r>
        <w:rPr>
          <w:rFonts w:hint="eastAsia" w:cs="宋体" w:asciiTheme="minorEastAsia" w:hAnsiTheme="minorEastAsia" w:eastAsiaTheme="minorEastAsia"/>
          <w:b/>
          <w:color w:val="000000"/>
          <w:kern w:val="0"/>
          <w:sz w:val="30"/>
          <w:szCs w:val="30"/>
        </w:rPr>
        <w:t>二、部门决算单位构成 ：</w:t>
      </w:r>
    </w:p>
    <w:p>
      <w:pPr>
        <w:pStyle w:val="8"/>
        <w:widowControl/>
        <w:ind w:left="1322" w:firstLine="1050" w:firstLineChars="350"/>
        <w:rPr>
          <w:rFonts w:asciiTheme="minorEastAsia" w:hAnsiTheme="minorEastAsia" w:eastAsiaTheme="minorEastAsia"/>
          <w:sz w:val="30"/>
          <w:szCs w:val="30"/>
        </w:rPr>
      </w:pPr>
      <w:r>
        <w:rPr>
          <w:rFonts w:hint="eastAsia" w:asciiTheme="minorEastAsia" w:hAnsiTheme="minorEastAsia" w:eastAsiaTheme="minorEastAsia"/>
          <w:sz w:val="30"/>
          <w:szCs w:val="30"/>
        </w:rPr>
        <w:t>部门决算单位构成</w:t>
      </w:r>
    </w:p>
    <w:tbl>
      <w:tblPr>
        <w:tblStyle w:val="6"/>
        <w:tblW w:w="978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9"/>
        <w:gridCol w:w="1842"/>
        <w:gridCol w:w="1558"/>
        <w:gridCol w:w="35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839" w:type="dxa"/>
            <w:vAlign w:val="center"/>
          </w:tcPr>
          <w:p>
            <w:pPr>
              <w:widowControl/>
              <w:ind w:firstLine="600" w:firstLineChars="200"/>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单位名称</w:t>
            </w:r>
          </w:p>
        </w:tc>
        <w:tc>
          <w:tcPr>
            <w:tcW w:w="1842" w:type="dxa"/>
            <w:vAlign w:val="center"/>
          </w:tcPr>
          <w:p>
            <w:pPr>
              <w:widowControl/>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单位性质</w:t>
            </w:r>
          </w:p>
        </w:tc>
        <w:tc>
          <w:tcPr>
            <w:tcW w:w="1558" w:type="dxa"/>
            <w:vAlign w:val="center"/>
          </w:tcPr>
          <w:p>
            <w:pPr>
              <w:widowControl/>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单位规格</w:t>
            </w:r>
          </w:p>
        </w:tc>
        <w:tc>
          <w:tcPr>
            <w:tcW w:w="3542" w:type="dxa"/>
            <w:vAlign w:val="center"/>
          </w:tcPr>
          <w:p>
            <w:pPr>
              <w:widowControl/>
              <w:ind w:firstLine="600" w:firstLineChars="200"/>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经费保障形式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7" w:hRule="atLeast"/>
        </w:trPr>
        <w:tc>
          <w:tcPr>
            <w:tcW w:w="2839" w:type="dxa"/>
            <w:vAlign w:val="center"/>
          </w:tcPr>
          <w:p>
            <w:pPr>
              <w:widowControl/>
              <w:ind w:firstLine="600" w:firstLineChars="200"/>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邯郸市住房保障和房产和管理局</w:t>
            </w:r>
          </w:p>
        </w:tc>
        <w:tc>
          <w:tcPr>
            <w:tcW w:w="1842" w:type="dxa"/>
            <w:vAlign w:val="center"/>
          </w:tcPr>
          <w:p>
            <w:pPr>
              <w:widowControl/>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行政事业</w:t>
            </w:r>
          </w:p>
        </w:tc>
        <w:tc>
          <w:tcPr>
            <w:tcW w:w="1558" w:type="dxa"/>
            <w:vAlign w:val="center"/>
          </w:tcPr>
          <w:p>
            <w:pPr>
              <w:widowControl/>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县级</w:t>
            </w:r>
          </w:p>
        </w:tc>
        <w:tc>
          <w:tcPr>
            <w:tcW w:w="3542" w:type="dxa"/>
            <w:vAlign w:val="center"/>
          </w:tcPr>
          <w:p>
            <w:pPr>
              <w:widowControl/>
              <w:ind w:firstLine="600" w:firstLineChars="200"/>
              <w:rPr>
                <w:rFonts w:cs="宋体" w:asciiTheme="minorEastAsia" w:hAnsiTheme="minorEastAsia" w:eastAsiaTheme="minorEastAsia"/>
                <w:color w:val="000000"/>
                <w:kern w:val="0"/>
                <w:sz w:val="30"/>
                <w:szCs w:val="30"/>
              </w:rPr>
            </w:pPr>
            <w:r>
              <w:rPr>
                <w:rFonts w:hint="eastAsia" w:asciiTheme="minorEastAsia" w:hAnsiTheme="minorEastAsia" w:eastAsiaTheme="minorEastAsia"/>
                <w:sz w:val="30"/>
                <w:szCs w:val="30"/>
              </w:rPr>
              <w:t>财政性资金基本保证（全额事业）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9" w:type="dxa"/>
            <w:vAlign w:val="center"/>
          </w:tcPr>
          <w:p>
            <w:pPr>
              <w:widowControl/>
              <w:ind w:firstLine="600" w:firstLineChars="200"/>
              <w:rPr>
                <w:rFonts w:cs="宋体" w:asciiTheme="minorEastAsia" w:hAnsiTheme="minorEastAsia" w:eastAsiaTheme="minorEastAsia"/>
                <w:color w:val="000000"/>
                <w:kern w:val="0"/>
                <w:sz w:val="30"/>
                <w:szCs w:val="30"/>
              </w:rPr>
            </w:pPr>
            <w:r>
              <w:rPr>
                <w:rFonts w:hint="eastAsia" w:asciiTheme="minorEastAsia" w:hAnsiTheme="minorEastAsia" w:eastAsiaTheme="minorEastAsia"/>
                <w:sz w:val="30"/>
                <w:szCs w:val="30"/>
              </w:rPr>
              <w:t>邯郸市房地产市场管理处</w:t>
            </w:r>
          </w:p>
        </w:tc>
        <w:tc>
          <w:tcPr>
            <w:tcW w:w="1842" w:type="dxa"/>
            <w:vAlign w:val="center"/>
          </w:tcPr>
          <w:p>
            <w:pPr>
              <w:widowControl/>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事业</w:t>
            </w:r>
          </w:p>
        </w:tc>
        <w:tc>
          <w:tcPr>
            <w:tcW w:w="1558" w:type="dxa"/>
            <w:vAlign w:val="center"/>
          </w:tcPr>
          <w:p>
            <w:pPr>
              <w:widowControl/>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科级</w:t>
            </w:r>
          </w:p>
        </w:tc>
        <w:tc>
          <w:tcPr>
            <w:tcW w:w="3542" w:type="dxa"/>
            <w:vAlign w:val="center"/>
          </w:tcPr>
          <w:p>
            <w:pPr>
              <w:widowControl/>
              <w:ind w:firstLine="600" w:firstLineChars="200"/>
              <w:rPr>
                <w:rFonts w:cs="宋体" w:asciiTheme="minorEastAsia" w:hAnsiTheme="minorEastAsia" w:eastAsiaTheme="minorEastAsia"/>
                <w:color w:val="000000"/>
                <w:kern w:val="0"/>
                <w:sz w:val="30"/>
                <w:szCs w:val="30"/>
              </w:rPr>
            </w:pPr>
            <w:r>
              <w:rPr>
                <w:rFonts w:hint="eastAsia" w:asciiTheme="minorEastAsia" w:hAnsiTheme="minorEastAsia" w:eastAsiaTheme="minorEastAsia"/>
                <w:sz w:val="30"/>
                <w:szCs w:val="30"/>
              </w:rPr>
              <w:t>财政性资金零补助（自收自支）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9" w:type="dxa"/>
            <w:vAlign w:val="center"/>
          </w:tcPr>
          <w:p>
            <w:pPr>
              <w:widowControl/>
              <w:ind w:firstLine="600" w:firstLineChars="200"/>
              <w:rPr>
                <w:rFonts w:cs="宋体" w:asciiTheme="minorEastAsia" w:hAnsiTheme="minorEastAsia" w:eastAsiaTheme="minorEastAsia"/>
                <w:color w:val="000000"/>
                <w:kern w:val="0"/>
                <w:sz w:val="30"/>
                <w:szCs w:val="30"/>
              </w:rPr>
            </w:pPr>
            <w:r>
              <w:rPr>
                <w:rFonts w:hint="eastAsia" w:asciiTheme="minorEastAsia" w:hAnsiTheme="minorEastAsia" w:eastAsiaTheme="minorEastAsia"/>
                <w:sz w:val="30"/>
                <w:szCs w:val="30"/>
              </w:rPr>
              <w:t>邯郸市保障性住房管理中心</w:t>
            </w:r>
          </w:p>
        </w:tc>
        <w:tc>
          <w:tcPr>
            <w:tcW w:w="1842" w:type="dxa"/>
            <w:vAlign w:val="center"/>
          </w:tcPr>
          <w:p>
            <w:pPr>
              <w:widowControl/>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事业</w:t>
            </w:r>
          </w:p>
        </w:tc>
        <w:tc>
          <w:tcPr>
            <w:tcW w:w="1558" w:type="dxa"/>
            <w:vAlign w:val="center"/>
          </w:tcPr>
          <w:p>
            <w:pPr>
              <w:widowControl/>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副县级</w:t>
            </w:r>
          </w:p>
        </w:tc>
        <w:tc>
          <w:tcPr>
            <w:tcW w:w="3542" w:type="dxa"/>
            <w:vAlign w:val="center"/>
          </w:tcPr>
          <w:p>
            <w:pPr>
              <w:widowControl/>
              <w:ind w:firstLine="600" w:firstLineChars="200"/>
              <w:rPr>
                <w:rFonts w:cs="宋体" w:asciiTheme="minorEastAsia" w:hAnsiTheme="minorEastAsia" w:eastAsiaTheme="minorEastAsia"/>
                <w:color w:val="000000"/>
                <w:kern w:val="0"/>
                <w:sz w:val="30"/>
                <w:szCs w:val="30"/>
              </w:rPr>
            </w:pPr>
            <w:r>
              <w:rPr>
                <w:rFonts w:hint="eastAsia" w:asciiTheme="minorEastAsia" w:hAnsiTheme="minorEastAsia" w:eastAsiaTheme="minorEastAsia"/>
                <w:sz w:val="30"/>
                <w:szCs w:val="30"/>
              </w:rPr>
              <w:t>财政性资金零补助（自收自支）</w:t>
            </w:r>
          </w:p>
        </w:tc>
      </w:tr>
    </w:tbl>
    <w:p>
      <w:pPr>
        <w:pStyle w:val="8"/>
        <w:widowControl/>
        <w:ind w:left="1322" w:firstLine="1050" w:firstLineChars="350"/>
        <w:rPr>
          <w:rFonts w:asciiTheme="minorEastAsia" w:hAnsiTheme="minorEastAsia" w:eastAsiaTheme="minorEastAsia"/>
          <w:sz w:val="30"/>
          <w:szCs w:val="30"/>
        </w:rPr>
      </w:pPr>
    </w:p>
    <w:p>
      <w:pPr>
        <w:pStyle w:val="8"/>
        <w:widowControl/>
        <w:ind w:left="1322" w:firstLine="1050" w:firstLineChars="350"/>
        <w:rPr>
          <w:rFonts w:asciiTheme="minorEastAsia" w:hAnsiTheme="minorEastAsia" w:eastAsiaTheme="minorEastAsia"/>
          <w:sz w:val="30"/>
          <w:szCs w:val="30"/>
        </w:rPr>
      </w:pPr>
    </w:p>
    <w:p>
      <w:pPr>
        <w:pStyle w:val="8"/>
        <w:widowControl/>
        <w:ind w:left="1322" w:firstLine="1050" w:firstLineChars="350"/>
        <w:rPr>
          <w:rFonts w:asciiTheme="minorEastAsia" w:hAnsiTheme="minorEastAsia" w:eastAsiaTheme="minorEastAsia"/>
          <w:sz w:val="30"/>
          <w:szCs w:val="30"/>
        </w:rPr>
      </w:pPr>
    </w:p>
    <w:p>
      <w:pPr>
        <w:pStyle w:val="8"/>
        <w:widowControl/>
        <w:ind w:left="1322" w:firstLine="1050" w:firstLineChars="350"/>
        <w:rPr>
          <w:rFonts w:asciiTheme="minorEastAsia" w:hAnsiTheme="minorEastAsia" w:eastAsiaTheme="minorEastAsia"/>
          <w:sz w:val="30"/>
          <w:szCs w:val="30"/>
        </w:rPr>
      </w:pPr>
    </w:p>
    <w:p>
      <w:pPr>
        <w:pStyle w:val="8"/>
        <w:widowControl/>
        <w:ind w:left="1322" w:firstLine="1050" w:firstLineChars="350"/>
        <w:rPr>
          <w:rFonts w:asciiTheme="minorEastAsia" w:hAnsiTheme="minorEastAsia" w:eastAsiaTheme="minorEastAsia"/>
          <w:sz w:val="30"/>
          <w:szCs w:val="30"/>
        </w:rPr>
      </w:pPr>
    </w:p>
    <w:p>
      <w:pPr>
        <w:pStyle w:val="8"/>
        <w:widowControl/>
        <w:ind w:left="1322" w:firstLine="1050" w:firstLineChars="350"/>
        <w:rPr>
          <w:rFonts w:asciiTheme="minorEastAsia" w:hAnsiTheme="minorEastAsia" w:eastAsiaTheme="minorEastAsia"/>
          <w:sz w:val="30"/>
          <w:szCs w:val="30"/>
        </w:rPr>
      </w:pPr>
    </w:p>
    <w:p>
      <w:pPr>
        <w:pStyle w:val="8"/>
        <w:widowControl/>
        <w:ind w:left="1322" w:firstLine="1050" w:firstLineChars="350"/>
        <w:rPr>
          <w:rFonts w:asciiTheme="minorEastAsia" w:hAnsiTheme="minorEastAsia" w:eastAsiaTheme="minorEastAsia"/>
          <w:sz w:val="30"/>
          <w:szCs w:val="30"/>
        </w:rPr>
      </w:pPr>
    </w:p>
    <w:p>
      <w:pPr>
        <w:pStyle w:val="8"/>
        <w:widowControl/>
        <w:ind w:left="1322" w:firstLine="1050" w:firstLineChars="350"/>
        <w:rPr>
          <w:rFonts w:asciiTheme="minorEastAsia" w:hAnsiTheme="minorEastAsia" w:eastAsiaTheme="minorEastAsia"/>
          <w:sz w:val="30"/>
          <w:szCs w:val="30"/>
        </w:rPr>
      </w:pPr>
    </w:p>
    <w:p>
      <w:pPr>
        <w:pStyle w:val="8"/>
        <w:widowControl/>
        <w:ind w:left="1322" w:firstLine="1050" w:firstLineChars="350"/>
        <w:rPr>
          <w:rFonts w:asciiTheme="minorEastAsia" w:hAnsiTheme="minorEastAsia" w:eastAsiaTheme="minorEastAsia"/>
          <w:sz w:val="30"/>
          <w:szCs w:val="30"/>
        </w:rPr>
      </w:pPr>
    </w:p>
    <w:p>
      <w:pPr>
        <w:pStyle w:val="8"/>
        <w:widowControl/>
        <w:ind w:left="1322" w:firstLine="1050" w:firstLineChars="350"/>
        <w:rPr>
          <w:rFonts w:asciiTheme="minorEastAsia" w:hAnsiTheme="minorEastAsia" w:eastAsiaTheme="minorEastAsia"/>
          <w:sz w:val="30"/>
          <w:szCs w:val="30"/>
        </w:rPr>
      </w:pPr>
    </w:p>
    <w:p>
      <w:pPr>
        <w:pStyle w:val="8"/>
        <w:widowControl/>
        <w:ind w:left="1322" w:firstLine="1050" w:firstLineChars="350"/>
        <w:rPr>
          <w:rFonts w:asciiTheme="minorEastAsia" w:hAnsiTheme="minorEastAsia" w:eastAsiaTheme="minorEastAsia"/>
          <w:sz w:val="30"/>
          <w:szCs w:val="30"/>
        </w:rPr>
      </w:pPr>
    </w:p>
    <w:p>
      <w:pPr>
        <w:pStyle w:val="8"/>
        <w:widowControl/>
        <w:ind w:left="1322" w:firstLine="1050" w:firstLineChars="350"/>
        <w:rPr>
          <w:rFonts w:asciiTheme="minorEastAsia" w:hAnsiTheme="minorEastAsia" w:eastAsiaTheme="minorEastAsia"/>
          <w:sz w:val="30"/>
          <w:szCs w:val="30"/>
        </w:rPr>
      </w:pPr>
    </w:p>
    <w:p>
      <w:pPr>
        <w:pStyle w:val="8"/>
        <w:widowControl/>
        <w:ind w:left="1322" w:firstLine="1050" w:firstLineChars="350"/>
        <w:rPr>
          <w:rFonts w:asciiTheme="minorEastAsia" w:hAnsiTheme="minorEastAsia" w:eastAsiaTheme="minorEastAsia"/>
          <w:sz w:val="30"/>
          <w:szCs w:val="30"/>
        </w:rPr>
      </w:pPr>
    </w:p>
    <w:p>
      <w:pPr>
        <w:spacing w:line="360" w:lineRule="auto"/>
        <w:ind w:firstLine="723" w:firstLineChars="200"/>
        <w:jc w:val="center"/>
        <w:rPr>
          <w:rFonts w:cs="宋体" w:asciiTheme="minorEastAsia" w:hAnsiTheme="minorEastAsia" w:eastAsiaTheme="minorEastAsia"/>
          <w:color w:val="000000"/>
          <w:kern w:val="0"/>
          <w:sz w:val="36"/>
          <w:szCs w:val="36"/>
        </w:rPr>
      </w:pPr>
      <w:r>
        <w:rPr>
          <w:rFonts w:hint="eastAsia" w:cs="宋体" w:asciiTheme="minorEastAsia" w:hAnsiTheme="minorEastAsia" w:eastAsiaTheme="minorEastAsia"/>
          <w:b/>
          <w:color w:val="000000"/>
          <w:kern w:val="0"/>
          <w:sz w:val="36"/>
          <w:szCs w:val="36"/>
        </w:rPr>
        <w:t>第二部分   2017年度部门决算报表</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一、部门收入支出决算总表（见附表）</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二、部门收入决算表（见附表）</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三、部门支出决算表（见附表）</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四、财政拨款收入支出决算总表（见附表）</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五、一般公共预算财政拨款支出决算表（见附表）</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六、一般公共预算财政拨款基本支出决算经济分类表（见附表）</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七、政府性基金预算财政拨款收入支出决算表（见附表）</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八、国有资本经营预算财政拨款收入支出决算表（见附表）</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九、“三公”经费等相关信息统计表（见附表）</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十、政府采购情况表（见附表）</w:t>
      </w:r>
    </w:p>
    <w:p>
      <w:pPr>
        <w:widowControl/>
        <w:spacing w:line="360" w:lineRule="auto"/>
        <w:ind w:firstLine="602" w:firstLineChars="200"/>
        <w:jc w:val="left"/>
        <w:rPr>
          <w:rFonts w:cs="宋体" w:asciiTheme="minorEastAsia" w:hAnsiTheme="minorEastAsia" w:eastAsiaTheme="minorEastAsia"/>
          <w:b/>
          <w:color w:val="000000"/>
          <w:kern w:val="0"/>
          <w:sz w:val="30"/>
          <w:szCs w:val="30"/>
        </w:rPr>
      </w:pPr>
    </w:p>
    <w:p>
      <w:pPr>
        <w:widowControl/>
        <w:spacing w:line="360" w:lineRule="auto"/>
        <w:ind w:firstLine="602" w:firstLineChars="200"/>
        <w:jc w:val="left"/>
        <w:rPr>
          <w:rFonts w:cs="宋体" w:asciiTheme="minorEastAsia" w:hAnsiTheme="minorEastAsia" w:eastAsiaTheme="minorEastAsia"/>
          <w:b/>
          <w:color w:val="000000"/>
          <w:kern w:val="0"/>
          <w:sz w:val="30"/>
          <w:szCs w:val="30"/>
        </w:rPr>
      </w:pPr>
    </w:p>
    <w:p>
      <w:pPr>
        <w:widowControl/>
        <w:spacing w:line="360" w:lineRule="auto"/>
        <w:ind w:firstLine="602" w:firstLineChars="200"/>
        <w:jc w:val="left"/>
        <w:rPr>
          <w:rFonts w:cs="宋体" w:asciiTheme="minorEastAsia" w:hAnsiTheme="minorEastAsia" w:eastAsiaTheme="minorEastAsia"/>
          <w:b/>
          <w:color w:val="000000"/>
          <w:kern w:val="0"/>
          <w:sz w:val="30"/>
          <w:szCs w:val="30"/>
        </w:rPr>
      </w:pPr>
    </w:p>
    <w:p>
      <w:pPr>
        <w:widowControl/>
        <w:spacing w:line="360" w:lineRule="auto"/>
        <w:ind w:firstLine="602" w:firstLineChars="200"/>
        <w:jc w:val="left"/>
        <w:rPr>
          <w:rFonts w:cs="宋体" w:asciiTheme="minorEastAsia" w:hAnsiTheme="minorEastAsia" w:eastAsiaTheme="minorEastAsia"/>
          <w:b/>
          <w:color w:val="000000"/>
          <w:kern w:val="0"/>
          <w:sz w:val="30"/>
          <w:szCs w:val="30"/>
        </w:rPr>
      </w:pPr>
    </w:p>
    <w:p>
      <w:pPr>
        <w:widowControl/>
        <w:spacing w:line="360" w:lineRule="auto"/>
        <w:ind w:firstLine="602" w:firstLineChars="200"/>
        <w:jc w:val="left"/>
        <w:rPr>
          <w:rFonts w:cs="宋体" w:asciiTheme="minorEastAsia" w:hAnsiTheme="minorEastAsia" w:eastAsiaTheme="minorEastAsia"/>
          <w:b/>
          <w:color w:val="000000"/>
          <w:kern w:val="0"/>
          <w:sz w:val="30"/>
          <w:szCs w:val="30"/>
        </w:rPr>
      </w:pPr>
    </w:p>
    <w:p>
      <w:pPr>
        <w:widowControl/>
        <w:spacing w:line="360" w:lineRule="auto"/>
        <w:ind w:firstLine="602" w:firstLineChars="200"/>
        <w:jc w:val="left"/>
        <w:rPr>
          <w:rFonts w:cs="宋体" w:asciiTheme="minorEastAsia" w:hAnsiTheme="minorEastAsia" w:eastAsiaTheme="minorEastAsia"/>
          <w:b/>
          <w:color w:val="000000"/>
          <w:kern w:val="0"/>
          <w:sz w:val="30"/>
          <w:szCs w:val="30"/>
        </w:rPr>
      </w:pPr>
    </w:p>
    <w:p>
      <w:pPr>
        <w:widowControl/>
        <w:spacing w:line="360" w:lineRule="auto"/>
        <w:ind w:firstLine="602" w:firstLineChars="200"/>
        <w:jc w:val="left"/>
        <w:rPr>
          <w:rFonts w:cs="宋体" w:asciiTheme="minorEastAsia" w:hAnsiTheme="minorEastAsia" w:eastAsiaTheme="minorEastAsia"/>
          <w:b/>
          <w:color w:val="000000"/>
          <w:kern w:val="0"/>
          <w:sz w:val="30"/>
          <w:szCs w:val="30"/>
        </w:rPr>
      </w:pPr>
    </w:p>
    <w:p>
      <w:pPr>
        <w:widowControl/>
        <w:spacing w:line="360" w:lineRule="auto"/>
        <w:ind w:firstLine="602" w:firstLineChars="200"/>
        <w:jc w:val="left"/>
        <w:rPr>
          <w:rFonts w:cs="宋体" w:asciiTheme="minorEastAsia" w:hAnsiTheme="minorEastAsia" w:eastAsiaTheme="minorEastAsia"/>
          <w:b/>
          <w:color w:val="000000"/>
          <w:kern w:val="0"/>
          <w:sz w:val="30"/>
          <w:szCs w:val="30"/>
        </w:rPr>
      </w:pPr>
    </w:p>
    <w:p>
      <w:pPr>
        <w:widowControl/>
        <w:spacing w:line="360" w:lineRule="auto"/>
        <w:ind w:firstLine="602" w:firstLineChars="200"/>
        <w:jc w:val="left"/>
        <w:rPr>
          <w:rFonts w:cs="宋体" w:asciiTheme="minorEastAsia" w:hAnsiTheme="minorEastAsia" w:eastAsiaTheme="minorEastAsia"/>
          <w:b/>
          <w:color w:val="000000"/>
          <w:kern w:val="0"/>
          <w:sz w:val="30"/>
          <w:szCs w:val="30"/>
        </w:rPr>
      </w:pPr>
    </w:p>
    <w:p>
      <w:pPr>
        <w:widowControl/>
        <w:spacing w:line="360" w:lineRule="auto"/>
        <w:ind w:firstLine="723" w:firstLineChars="200"/>
        <w:rPr>
          <w:rFonts w:cs="宋体" w:asciiTheme="minorEastAsia" w:hAnsiTheme="minorEastAsia" w:eastAsiaTheme="minorEastAsia"/>
          <w:b/>
          <w:color w:val="000000"/>
          <w:kern w:val="0"/>
          <w:sz w:val="36"/>
          <w:szCs w:val="36"/>
        </w:rPr>
      </w:pPr>
      <w:r>
        <w:rPr>
          <w:rFonts w:hint="eastAsia" w:cs="宋体" w:asciiTheme="minorEastAsia" w:hAnsiTheme="minorEastAsia" w:eastAsiaTheme="minorEastAsia"/>
          <w:b/>
          <w:color w:val="000000"/>
          <w:kern w:val="0"/>
          <w:sz w:val="36"/>
          <w:szCs w:val="36"/>
        </w:rPr>
        <w:t>第三部分 2017年度部门决算情况说明</w:t>
      </w:r>
    </w:p>
    <w:p>
      <w:pPr>
        <w:widowControl/>
        <w:spacing w:line="360" w:lineRule="auto"/>
        <w:ind w:firstLine="720" w:firstLineChars="200"/>
        <w:rPr>
          <w:rFonts w:cs="宋体" w:asciiTheme="minorEastAsia" w:hAnsiTheme="minorEastAsia" w:eastAsiaTheme="minorEastAsia"/>
          <w:color w:val="000000"/>
          <w:kern w:val="0"/>
          <w:sz w:val="36"/>
          <w:szCs w:val="36"/>
        </w:rPr>
      </w:pPr>
    </w:p>
    <w:p>
      <w:pPr>
        <w:pStyle w:val="8"/>
        <w:widowControl/>
        <w:numPr>
          <w:ilvl w:val="0"/>
          <w:numId w:val="1"/>
        </w:numPr>
        <w:spacing w:line="360" w:lineRule="auto"/>
        <w:ind w:firstLineChars="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b/>
          <w:color w:val="000000"/>
          <w:kern w:val="0"/>
          <w:sz w:val="30"/>
          <w:szCs w:val="30"/>
        </w:rPr>
        <w:t>收入支出决算总体情况说明</w:t>
      </w:r>
    </w:p>
    <w:p>
      <w:pPr>
        <w:widowControl/>
        <w:spacing w:line="360" w:lineRule="auto"/>
        <w:ind w:firstLine="6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2017年度上年结转和结余2572.41万元，决算收入12016.65万元,决算支出11315.66万元，用事业基金弥补收支差额0万元，结余分配0万元，年末结转和结余3273.4万元。</w:t>
      </w:r>
    </w:p>
    <w:p>
      <w:pPr>
        <w:widowControl/>
        <w:spacing w:line="360" w:lineRule="auto"/>
        <w:ind w:firstLine="6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2017年度收入12016.65万元，其中：财政拨款收入 11882.68万元，占总收入的 98.88%；事业收入 87.41万元，占总收入的 0.73%；其他收入46.56 万元，占总收入的 0.39%。</w:t>
      </w:r>
    </w:p>
    <w:p>
      <w:pPr>
        <w:widowControl/>
        <w:spacing w:line="360" w:lineRule="auto"/>
        <w:ind w:firstLine="6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2017 年度支出 11315.66万元，其中：一般公共服务支出 241.39万元，占总支出的2.13%；社会保障和就业支出529.71万元，占总支出的4.68%；医疗卫生与计划生育支出 14.98万元，占总支出的0.13%；城乡社区支出7135.76万元，占总支出的 63.06%；住房保障支出 3393.81万元，占总支出的29.99%。</w:t>
      </w:r>
    </w:p>
    <w:p>
      <w:pPr>
        <w:spacing w:line="580" w:lineRule="atLeast"/>
        <w:ind w:firstLine="600" w:firstLineChars="200"/>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2016年度决算收入总计24361.23万元，决算支出总计29893.97万元，与2016年度收入支出决算比较，2017年度决算收入减少12344.58万元，比上年减少50.67%。2017年度决算支出减少18578.31万元，比上年减少62.15%。2017年度收入支出都较上年度增加的主要原因是财政拨专项收入的减少（主要是财政拨用于购买商品房作为公租房和廉租房的专项资金的减少）</w:t>
      </w:r>
    </w:p>
    <w:p>
      <w:pPr>
        <w:spacing w:line="580" w:lineRule="atLeast"/>
        <w:ind w:firstLine="600" w:firstLineChars="200"/>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2017年度预算收入总计4499.98万元，预算支出总计4499.98万元，与2017年度决算收入支出比较，2017年度决算收入增加7516.67万元，增加167.04%；2017年度决算支出增加6815.68万元，增加151.46%。2017年度决算收入支出比2017年度预算收入支出增加的主要原因是财政拨专项收入的增加（主要是主城区购房契税补贴、交易中心等五个单位运行经费、保障性安居工程奖励、老旧小区综合整治物业费和民悦苑公共租赁住房项目的专项资金）</w:t>
      </w:r>
    </w:p>
    <w:p>
      <w:pPr>
        <w:widowControl/>
        <w:spacing w:line="360" w:lineRule="auto"/>
        <w:ind w:firstLine="602"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b/>
          <w:color w:val="000000"/>
          <w:kern w:val="0"/>
          <w:sz w:val="30"/>
          <w:szCs w:val="30"/>
        </w:rPr>
        <w:t>二、收入决算情况说明</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2017年度收入12016.65万元，其中：财政拨款收入11882.68万元，占总收入的98.88%；事业收入87.41万元，占总收入的0.73%；其他收入46.56万元，占总收入的0.39%。</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与2017年年初预算数相比，收入增加7516.67万元 ，增加167.04%，其中：财政拨款收入增加7382.7万元，增加164.06%；事业收入增加87.41万元；其他收入增加46.56万元。</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与2016年度相比，收入减少12344.58万元，减少50.67%，其中：财政拨款收入减少11451.41万元，减少49.08%；事业收入减少856.77万元，减少90.74%；其他收入减少36.4万元，减少43.88%。</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2017年度收入较上年大幅减少的主要原因是财政拨专项收入的增加（主要是财政拨用于购买商品房作为公租房和廉租房的专项资金减少）</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三、</w:t>
      </w:r>
      <w:r>
        <w:rPr>
          <w:rFonts w:hint="eastAsia" w:cs="宋体" w:asciiTheme="minorEastAsia" w:hAnsiTheme="minorEastAsia" w:eastAsiaTheme="minorEastAsia"/>
          <w:b/>
          <w:color w:val="000000"/>
          <w:kern w:val="0"/>
          <w:sz w:val="30"/>
          <w:szCs w:val="30"/>
        </w:rPr>
        <w:t>支出决算情况说明</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2017年度支出11315.66万元，其中：基本支出2035.08万元，占总支出的17.98%；项目支出9280.58万元，占总支出的 82.02%。</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与2017年年初预算数相比，支出增加6815.68万元，增加151.46%；其中，基本支出增加224.78万元，增加12.42%；项目支出增加6590.9万元，增加245.04%。</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与2016年度相比，支出减少18578.31万元，减少62.15%，其中：基本支出减少516.77万元，减少20.3%；项目支出减少18058.54万元，减少66.1%； 对附属单位补助支出减少3万元，减少100%。</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2017年度支出较上年大幅减少的主要原因是财政拨专项支出的增加（主要是财政拨用于购买商品房作为公租房和廉租房的专项资金的减少）</w:t>
      </w:r>
    </w:p>
    <w:p>
      <w:pPr>
        <w:widowControl/>
        <w:spacing w:line="360" w:lineRule="auto"/>
        <w:ind w:firstLine="602" w:firstLineChars="200"/>
        <w:jc w:val="left"/>
        <w:rPr>
          <w:rFonts w:cs="宋体" w:asciiTheme="minorEastAsia" w:hAnsiTheme="minorEastAsia" w:eastAsiaTheme="minorEastAsia"/>
          <w:b/>
          <w:color w:val="000000"/>
          <w:kern w:val="0"/>
          <w:sz w:val="30"/>
          <w:szCs w:val="30"/>
        </w:rPr>
      </w:pPr>
      <w:r>
        <w:rPr>
          <w:rFonts w:hint="eastAsia" w:cs="宋体" w:asciiTheme="minorEastAsia" w:hAnsiTheme="minorEastAsia" w:eastAsiaTheme="minorEastAsia"/>
          <w:b/>
          <w:color w:val="000000"/>
          <w:kern w:val="0"/>
          <w:sz w:val="30"/>
          <w:szCs w:val="30"/>
        </w:rPr>
        <w:t>四、财政拨款收入支出决算总体情况说明</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2017年度年初批复财政拨款预算收入4499.98万元。其中：一般公共预算拨款4499.98万元，经过调整后，最终全年财政拨款预算收入11882.68万元，其中：一般公共预算拨款9812.68万元，基金收入2070万元。预算调整的主要原因是财政拨专项支出的增加（主要是主城区购房契税补贴、交易中心等五个单位运行经费、保障性安居工程奖励、老旧小区综合整治物业费和民悦苑公共租赁住房项目的专项资金）。</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2017 年度财政拨款收入决算11882.68万元，其中：一般公共预算拨款9812.68万元，基金预算财政拨款2070万元。</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与2017年年初预算相比，财政拨款收入数增加7382.7万元，增加164.06%，其中：一般公共预算拨款增加5312.7万元，增加118.06%；基金预算财政拨款增加1950万元，增加43.33%。</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与2016年相比，财政拨款收入减少11451.41万元，减少 49.1%，其中：一般公共预算拨款增加13401.41万元，减少57.7%；基金预算财政拨款增加1950万元，增加1625%。</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2017年财政拨款支出决算11028.71万元，其中：一般公共预算拨款10930.98万元，基金预算财政拨款97.73万元。</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与2017年年初预算数相比，财政拨款支出增加6528.73万元，增加145.08%，其中：一般公共预算拨款增加6431万元，增加142.91%；基金预算财政拨款增加97.73万元。</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与2016年相比，财政拨款支出减少17838.12万元，减少61.79%。2016 年度财政拨款收支较上年大幅减少的主要原因是财政拨专项支出的增加（主要是财政拨用于购买商品房作为公租房和廉租房的专项资金的减少）。</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2017年财政拨款年初结转和结余 2419.43万元，年末结转和结余1301.13万元。</w:t>
      </w:r>
    </w:p>
    <w:p>
      <w:pPr>
        <w:widowControl/>
        <w:spacing w:line="360" w:lineRule="auto"/>
        <w:ind w:firstLine="602" w:firstLineChars="200"/>
        <w:jc w:val="left"/>
        <w:rPr>
          <w:rFonts w:asciiTheme="minorEastAsia" w:hAnsiTheme="minorEastAsia" w:eastAsiaTheme="minorEastAsia"/>
          <w:b/>
          <w:sz w:val="30"/>
          <w:szCs w:val="30"/>
        </w:rPr>
      </w:pPr>
      <w:r>
        <w:rPr>
          <w:rFonts w:hint="eastAsia" w:asciiTheme="minorEastAsia" w:hAnsiTheme="minorEastAsia" w:eastAsiaTheme="minorEastAsia"/>
          <w:b/>
          <w:sz w:val="30"/>
          <w:szCs w:val="30"/>
        </w:rPr>
        <w:t>五、“三公”经费支出决算情况说明</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2017年度“三公”经费支出共计 24.53 万元，与 2016 年度对比，总支出减少0.23万元；与预算对比，总支出增加9.05万元。现将一般公共预算财政拨款“三公”经费支出决算情况说明如下：2017 年度一般公共预算财政拨款“三公”经费支出共计24.53万元，与 2016年度对比，总支出减少0.23万元。这主要是由于我们厉行节约，认真贯彻落实中央八项规定和省委省政府要求，切实采取措施进一步压缩“三公”经费支出。</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p>
    <w:p>
      <w:pPr>
        <w:widowControl/>
        <w:spacing w:line="360" w:lineRule="auto"/>
        <w:ind w:firstLine="602" w:firstLineChars="200"/>
        <w:jc w:val="left"/>
        <w:rPr>
          <w:rFonts w:asciiTheme="minorEastAsia" w:hAnsiTheme="minorEastAsia" w:eastAsiaTheme="minorEastAsia"/>
          <w:b/>
          <w:sz w:val="30"/>
          <w:szCs w:val="30"/>
        </w:rPr>
      </w:pPr>
      <w:r>
        <w:rPr>
          <w:rFonts w:hint="eastAsia" w:asciiTheme="minorEastAsia" w:hAnsiTheme="minorEastAsia" w:eastAsiaTheme="minorEastAsia"/>
          <w:b/>
          <w:sz w:val="30"/>
          <w:szCs w:val="30"/>
        </w:rPr>
        <w:t>“三公”经费支出 2016 年度、2017年度对比明细表</w:t>
      </w:r>
    </w:p>
    <w:p>
      <w:pPr>
        <w:widowControl/>
        <w:spacing w:line="360" w:lineRule="auto"/>
        <w:ind w:firstLine="602" w:firstLineChars="200"/>
        <w:jc w:val="left"/>
        <w:rPr>
          <w:rFonts w:asciiTheme="minorEastAsia" w:hAnsiTheme="minorEastAsia" w:eastAsiaTheme="minorEastAsia"/>
          <w:szCs w:val="21"/>
        </w:rPr>
      </w:pPr>
      <w:r>
        <w:rPr>
          <w:rFonts w:hint="eastAsia" w:asciiTheme="minorEastAsia" w:hAnsiTheme="minorEastAsia" w:eastAsiaTheme="minorEastAsia"/>
          <w:b/>
          <w:sz w:val="30"/>
          <w:szCs w:val="30"/>
        </w:rPr>
        <w:t xml:space="preserve">                                            </w:t>
      </w:r>
      <w:r>
        <w:rPr>
          <w:rFonts w:hint="eastAsia" w:asciiTheme="minorEastAsia" w:hAnsiTheme="minorEastAsia" w:eastAsiaTheme="minorEastAsia"/>
          <w:szCs w:val="21"/>
        </w:rPr>
        <w:t>单位：元</w:t>
      </w:r>
    </w:p>
    <w:tbl>
      <w:tblPr>
        <w:tblStyle w:val="6"/>
        <w:tblW w:w="9214"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0"/>
        <w:gridCol w:w="1843"/>
        <w:gridCol w:w="1984"/>
        <w:gridCol w:w="29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“三公” 经费</w:t>
            </w:r>
          </w:p>
        </w:tc>
        <w:tc>
          <w:tcPr>
            <w:tcW w:w="1843"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2017 年支出</w:t>
            </w:r>
          </w:p>
        </w:tc>
        <w:tc>
          <w:tcPr>
            <w:tcW w:w="1984"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2016年支出</w:t>
            </w:r>
          </w:p>
        </w:tc>
        <w:tc>
          <w:tcPr>
            <w:tcW w:w="2977"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2017年与 2016 年对比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因公出国（境）支出</w:t>
            </w:r>
          </w:p>
        </w:tc>
        <w:tc>
          <w:tcPr>
            <w:tcW w:w="1843"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0</w:t>
            </w:r>
          </w:p>
        </w:tc>
        <w:tc>
          <w:tcPr>
            <w:tcW w:w="1984"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0</w:t>
            </w:r>
          </w:p>
        </w:tc>
        <w:tc>
          <w:tcPr>
            <w:tcW w:w="2977"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公务用车运行维护费</w:t>
            </w:r>
          </w:p>
        </w:tc>
        <w:tc>
          <w:tcPr>
            <w:tcW w:w="1843" w:type="dxa"/>
          </w:tcPr>
          <w:p>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20.61</w:t>
            </w:r>
          </w:p>
        </w:tc>
        <w:tc>
          <w:tcPr>
            <w:tcW w:w="1984" w:type="dxa"/>
          </w:tcPr>
          <w:p>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23.44</w:t>
            </w:r>
          </w:p>
        </w:tc>
        <w:tc>
          <w:tcPr>
            <w:tcW w:w="2977" w:type="dxa"/>
          </w:tcPr>
          <w:p>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-2.83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公务接待费</w:t>
            </w:r>
          </w:p>
        </w:tc>
        <w:tc>
          <w:tcPr>
            <w:tcW w:w="1843" w:type="dxa"/>
          </w:tcPr>
          <w:p>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3.92</w:t>
            </w:r>
          </w:p>
        </w:tc>
        <w:tc>
          <w:tcPr>
            <w:tcW w:w="1984" w:type="dxa"/>
          </w:tcPr>
          <w:p>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1.32</w:t>
            </w:r>
          </w:p>
        </w:tc>
        <w:tc>
          <w:tcPr>
            <w:tcW w:w="2977" w:type="dxa"/>
          </w:tcPr>
          <w:p>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合计</w:t>
            </w:r>
          </w:p>
        </w:tc>
        <w:tc>
          <w:tcPr>
            <w:tcW w:w="1843" w:type="dxa"/>
          </w:tcPr>
          <w:p>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24.53</w:t>
            </w:r>
          </w:p>
        </w:tc>
        <w:tc>
          <w:tcPr>
            <w:tcW w:w="1984" w:type="dxa"/>
          </w:tcPr>
          <w:p>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24.59</w:t>
            </w:r>
          </w:p>
        </w:tc>
        <w:tc>
          <w:tcPr>
            <w:tcW w:w="2977" w:type="dxa"/>
          </w:tcPr>
          <w:p>
            <w:pPr>
              <w:widowControl/>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0.23</w:t>
            </w:r>
          </w:p>
        </w:tc>
      </w:tr>
    </w:tbl>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2017 年度一般公共预算财政拨款“三公”经费实际支出，与预算对比，增加9.05万元。其中接待费增加1.91万元，公务用车运行维护费增加7.14万元。这主要是由于“三公”经费支出汇总的单位增加。2017年预算中的“三公”经费支出只包含房管局机关、保障房管理中心两个单位，但在2017年决算中的“三公”经费支出不仅包含了房管局机关、保障房管理中心的支出，还包含房产稽查队和运营公司专项工作经费中的“三公”经费支出。</w:t>
      </w:r>
    </w:p>
    <w:p>
      <w:pPr>
        <w:widowControl/>
        <w:spacing w:line="360" w:lineRule="auto"/>
        <w:ind w:firstLine="602" w:firstLineChars="200"/>
        <w:jc w:val="left"/>
        <w:rPr>
          <w:rFonts w:cs="宋体" w:asciiTheme="minorEastAsia" w:hAnsiTheme="minorEastAsia" w:eastAsiaTheme="minorEastAsia"/>
          <w:b/>
          <w:color w:val="000000"/>
          <w:kern w:val="0"/>
          <w:sz w:val="30"/>
          <w:szCs w:val="30"/>
        </w:rPr>
      </w:pPr>
      <w:r>
        <w:rPr>
          <w:rFonts w:hint="eastAsia" w:cs="宋体" w:asciiTheme="minorEastAsia" w:hAnsiTheme="minorEastAsia" w:eastAsiaTheme="minorEastAsia"/>
          <w:b/>
          <w:color w:val="000000"/>
          <w:kern w:val="0"/>
          <w:sz w:val="30"/>
          <w:szCs w:val="30"/>
        </w:rPr>
        <w:t>2017 年度“三公”经费支出预决算对比明细表</w:t>
      </w:r>
    </w:p>
    <w:p>
      <w:pPr>
        <w:widowControl/>
        <w:spacing w:line="360" w:lineRule="auto"/>
        <w:ind w:firstLine="600" w:firstLineChars="200"/>
        <w:jc w:val="left"/>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 w:val="30"/>
          <w:szCs w:val="30"/>
        </w:rPr>
        <w:t xml:space="preserve">                                         </w:t>
      </w:r>
      <w:r>
        <w:rPr>
          <w:rFonts w:hint="eastAsia" w:cs="宋体" w:asciiTheme="minorEastAsia" w:hAnsiTheme="minorEastAsia" w:eastAsiaTheme="minorEastAsia"/>
          <w:color w:val="000000"/>
          <w:kern w:val="0"/>
          <w:szCs w:val="21"/>
        </w:rPr>
        <w:t>单位：元</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2130"/>
        <w:gridCol w:w="2131"/>
        <w:gridCol w:w="2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“三公” 经费</w:t>
            </w:r>
          </w:p>
        </w:tc>
        <w:tc>
          <w:tcPr>
            <w:tcW w:w="2130"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2017年实际支出</w:t>
            </w:r>
          </w:p>
        </w:tc>
        <w:tc>
          <w:tcPr>
            <w:tcW w:w="2131"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2017 年预算</w:t>
            </w:r>
          </w:p>
        </w:tc>
        <w:tc>
          <w:tcPr>
            <w:tcW w:w="2131"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预决算对比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因公出国（境）支出</w:t>
            </w:r>
          </w:p>
        </w:tc>
        <w:tc>
          <w:tcPr>
            <w:tcW w:w="2130"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0</w:t>
            </w:r>
          </w:p>
        </w:tc>
        <w:tc>
          <w:tcPr>
            <w:tcW w:w="2131"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0</w:t>
            </w:r>
          </w:p>
        </w:tc>
        <w:tc>
          <w:tcPr>
            <w:tcW w:w="2131" w:type="dxa"/>
          </w:tcPr>
          <w:p>
            <w:pPr>
              <w:widowControl/>
              <w:spacing w:line="360" w:lineRule="auto"/>
              <w:jc w:val="center"/>
              <w:rPr>
                <w:rFonts w:cs="宋体" w:asciiTheme="minorEastAsia" w:hAnsiTheme="minorEastAsia" w:eastAsiaTheme="minorEastAsia"/>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公务用车运行维护费</w:t>
            </w:r>
          </w:p>
        </w:tc>
        <w:tc>
          <w:tcPr>
            <w:tcW w:w="2130"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20.61</w:t>
            </w:r>
          </w:p>
        </w:tc>
        <w:tc>
          <w:tcPr>
            <w:tcW w:w="2131"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13.47</w:t>
            </w:r>
          </w:p>
        </w:tc>
        <w:tc>
          <w:tcPr>
            <w:tcW w:w="2131"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7.14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公务接待费</w:t>
            </w:r>
          </w:p>
        </w:tc>
        <w:tc>
          <w:tcPr>
            <w:tcW w:w="2130"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3.92</w:t>
            </w:r>
          </w:p>
        </w:tc>
        <w:tc>
          <w:tcPr>
            <w:tcW w:w="2131"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2.01</w:t>
            </w:r>
          </w:p>
        </w:tc>
        <w:tc>
          <w:tcPr>
            <w:tcW w:w="2131"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1.91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合计</w:t>
            </w:r>
          </w:p>
        </w:tc>
        <w:tc>
          <w:tcPr>
            <w:tcW w:w="2130"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24.53</w:t>
            </w:r>
          </w:p>
        </w:tc>
        <w:tc>
          <w:tcPr>
            <w:tcW w:w="2131"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15.48</w:t>
            </w:r>
          </w:p>
        </w:tc>
        <w:tc>
          <w:tcPr>
            <w:tcW w:w="2131" w:type="dxa"/>
          </w:tcPr>
          <w:p>
            <w:pPr>
              <w:widowControl/>
              <w:spacing w:line="360" w:lineRule="auto"/>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9.05</w:t>
            </w:r>
          </w:p>
        </w:tc>
      </w:tr>
    </w:tbl>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说明：1、因公出国（境）团组情况：我单位2017年未发生因公出国（境）支出。</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2、公务用车购置及保有情况：2017年度购置公务用车 0 辆，年末公共预算财政拨款开支运行维护费的一般公务用车保有量 7辆。</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3、2017 年度使用公共财政拨款安排公务接待 7批次，103人次，与2016 年度相比，接待费增加2.6万元。这主要是由于计算的口径不一致。2016年决算中的“三公”经费支出只包含房管局机关和保障房管理中心两个单位，但在2017年决算中的“三公”经费支出不仅包含了房管局机关和保障房管理中心的支出，还包含了房产稽查队和运营公司专项工作经费中的“三公”经费支出。但局机关的“三公”经费是下降的，原因主要是认真贯彻落实</w:t>
      </w:r>
      <w:bookmarkStart w:id="0" w:name="_GoBack"/>
      <w:bookmarkEnd w:id="0"/>
      <w:r>
        <w:rPr>
          <w:rFonts w:hint="eastAsia" w:cs="宋体" w:asciiTheme="minorEastAsia" w:hAnsiTheme="minorEastAsia" w:eastAsiaTheme="minorEastAsia"/>
          <w:color w:val="000000"/>
          <w:kern w:val="0"/>
          <w:sz w:val="30"/>
          <w:szCs w:val="30"/>
        </w:rPr>
        <w:t>中央八项规定和省委省政府要求，切实采取措施进一步压缩“三公”经费支出。</w:t>
      </w:r>
    </w:p>
    <w:p>
      <w:pPr>
        <w:widowControl/>
        <w:spacing w:line="360" w:lineRule="auto"/>
        <w:ind w:firstLine="602" w:firstLineChars="200"/>
        <w:jc w:val="left"/>
        <w:rPr>
          <w:rFonts w:cs="宋体" w:asciiTheme="minorEastAsia" w:hAnsiTheme="minorEastAsia" w:eastAsiaTheme="minorEastAsia"/>
          <w:b/>
          <w:color w:val="000000"/>
          <w:kern w:val="0"/>
          <w:sz w:val="30"/>
          <w:szCs w:val="30"/>
        </w:rPr>
      </w:pPr>
      <w:r>
        <w:rPr>
          <w:rFonts w:hint="eastAsia" w:cs="宋体" w:asciiTheme="minorEastAsia" w:hAnsiTheme="minorEastAsia" w:eastAsiaTheme="minorEastAsia"/>
          <w:b/>
          <w:color w:val="000000"/>
          <w:kern w:val="0"/>
          <w:sz w:val="30"/>
          <w:szCs w:val="30"/>
        </w:rPr>
        <w:t>六、预算绩效管理工作开展情况说明</w:t>
      </w:r>
    </w:p>
    <w:p>
      <w:pPr>
        <w:widowControl/>
        <w:spacing w:line="360" w:lineRule="auto"/>
        <w:ind w:firstLine="600" w:firstLineChars="200"/>
        <w:jc w:val="left"/>
        <w:rPr>
          <w:rFonts w:hint="eastAsia"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（一）预算绩效管理工作开展情况。</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按照预算绩效管理改革要求，以绩效为导向，严格执行绩效预算管理。按照《河北省人民政府关于深化绩效预算管理改革的意见》及《河北省财政支出绩效评价管理办法》要求，重新修动了部门职责、工作活动及绩效评价指标，围绕本部门的发展规划、年度发展计划、工作计划确定的目标及年度工作任务工作完成情况和安排预算资金支出的合理性、有效性等情况进行评价。通过评价，市住房保障和房产管理局各项职责、活动目标都较好完成，保障了机关正常有效运转和各项重要事项的落</w:t>
      </w:r>
    </w:p>
    <w:p>
      <w:pPr>
        <w:widowControl/>
        <w:spacing w:line="360" w:lineRule="auto"/>
        <w:jc w:val="left"/>
        <w:rPr>
          <w:rFonts w:hint="eastAsia"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实，总体评价结果为：良好。</w:t>
      </w:r>
    </w:p>
    <w:p>
      <w:pPr>
        <w:widowControl/>
        <w:spacing w:line="360" w:lineRule="auto"/>
        <w:jc w:val="left"/>
        <w:rPr>
          <w:rFonts w:hint="eastAsia"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（二）预算项目绩效评价开展情况。</w:t>
      </w:r>
    </w:p>
    <w:p>
      <w:pPr>
        <w:widowControl/>
        <w:spacing w:line="360" w:lineRule="auto"/>
        <w:ind w:firstLine="600" w:firstLineChars="200"/>
        <w:jc w:val="left"/>
        <w:rPr>
          <w:rFonts w:hint="eastAsia"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按照市财政绩效管理的要求，市房管局对 2017 年确定的部门一般公共预算支出专项项目全面开展了绩效自评。市房管局 2017 年部门决算专项项目35项，共涉及预算资金 9280.58万元，绩效自评覆盖率达到 100%。</w:t>
      </w:r>
    </w:p>
    <w:p>
      <w:pPr>
        <w:widowControl/>
        <w:spacing w:line="360" w:lineRule="auto"/>
        <w:jc w:val="left"/>
        <w:rPr>
          <w:rFonts w:hint="eastAsia"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（三）预算项目绩效自评选例</w:t>
      </w:r>
    </w:p>
    <w:p>
      <w:pPr>
        <w:widowControl/>
        <w:spacing w:line="360" w:lineRule="auto"/>
        <w:ind w:firstLine="600" w:firstLineChars="200"/>
        <w:jc w:val="left"/>
        <w:rPr>
          <w:rFonts w:hint="eastAsia"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本单位项目绩效自评：根据年初设定的绩效目标，项目绩效自评结果为良好，项目全年预算数为 3833.26万元，执行数为 3833.26 万元，完成预算的 100%，按照相关要求及项目实施的目的，效果指标是服务对象满意度在 95%，综合评价结果为：良好。</w:t>
      </w:r>
    </w:p>
    <w:p>
      <w:pPr>
        <w:widowControl/>
        <w:spacing w:line="360" w:lineRule="auto"/>
        <w:ind w:firstLine="602"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b/>
          <w:color w:val="000000"/>
          <w:kern w:val="0"/>
          <w:sz w:val="30"/>
          <w:szCs w:val="30"/>
        </w:rPr>
        <w:t>七、其他重要事项的说明</w:t>
      </w:r>
    </w:p>
    <w:p>
      <w:pPr>
        <w:widowControl/>
        <w:spacing w:line="360" w:lineRule="auto"/>
        <w:ind w:firstLine="602"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b/>
          <w:color w:val="000000"/>
          <w:kern w:val="0"/>
          <w:sz w:val="30"/>
          <w:szCs w:val="30"/>
        </w:rPr>
        <w:t>(一)机关运行经费情况</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2017年度本部门机关运行经费支出 47.12 万元，比 2016 年度减少2.34万元，减少4.7%。主要原因是我单位认真贯彻落实中央八项规定和省委省政府要求，严格控制各项支出，厉行节约。</w:t>
      </w:r>
    </w:p>
    <w:p>
      <w:pPr>
        <w:widowControl/>
        <w:spacing w:line="360" w:lineRule="auto"/>
        <w:ind w:firstLine="602"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b/>
          <w:color w:val="000000"/>
          <w:kern w:val="0"/>
          <w:sz w:val="30"/>
          <w:szCs w:val="30"/>
        </w:rPr>
        <w:t>（二）政府采购情况</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2017年政府采购7.49万元，其中电脑9台，金额4.46万元；打印机4台，金额1.14万元；高拍仪1台，金额0.25万元，数码相机2台，0.76万元；摄像机1台，金额0.89万元。</w:t>
      </w:r>
    </w:p>
    <w:p>
      <w:pPr>
        <w:widowControl/>
        <w:spacing w:line="360" w:lineRule="auto"/>
        <w:ind w:firstLine="602" w:firstLineChars="200"/>
        <w:jc w:val="left"/>
        <w:rPr>
          <w:rFonts w:asciiTheme="minorEastAsia" w:hAnsiTheme="minorEastAsia" w:eastAsiaTheme="minorEastAsia"/>
          <w:b/>
          <w:sz w:val="30"/>
          <w:szCs w:val="30"/>
        </w:rPr>
      </w:pPr>
      <w:r>
        <w:rPr>
          <w:rFonts w:hint="eastAsia" w:asciiTheme="minorEastAsia" w:hAnsiTheme="minorEastAsia" w:eastAsiaTheme="minorEastAsia"/>
          <w:b/>
          <w:sz w:val="30"/>
          <w:szCs w:val="30"/>
        </w:rPr>
        <w:t>（三）国有资产占用情况</w:t>
      </w:r>
    </w:p>
    <w:p>
      <w:pPr>
        <w:widowControl/>
        <w:spacing w:line="360" w:lineRule="auto"/>
        <w:ind w:firstLine="600" w:firstLineChars="200"/>
        <w:jc w:val="left"/>
        <w:rPr>
          <w:rFonts w:asciiTheme="minorEastAsia" w:hAnsiTheme="minorEastAsia" w:eastAsiaTheme="minorEastAsia"/>
          <w:sz w:val="30"/>
          <w:szCs w:val="30"/>
        </w:rPr>
      </w:pPr>
      <w:r>
        <w:rPr>
          <w:rFonts w:hint="eastAsia" w:asciiTheme="minorEastAsia" w:hAnsiTheme="minorEastAsia" w:eastAsiaTheme="minorEastAsia"/>
          <w:sz w:val="30"/>
          <w:szCs w:val="30"/>
        </w:rPr>
        <w:t>截至2017年12月31日，本部门共有车辆11辆，一般公务用车9辆，其他用车2辆，是吸污车，主要用于吸污；单位价值100万元以上大型设备2套。</w:t>
      </w:r>
    </w:p>
    <w:p>
      <w:pPr>
        <w:widowControl/>
        <w:spacing w:line="360" w:lineRule="auto"/>
        <w:ind w:firstLine="602" w:firstLineChars="200"/>
        <w:jc w:val="left"/>
        <w:rPr>
          <w:rFonts w:cs="宋体" w:asciiTheme="minorEastAsia" w:hAnsiTheme="minorEastAsia" w:eastAsiaTheme="minorEastAsia"/>
          <w:color w:val="000000"/>
          <w:kern w:val="0"/>
          <w:sz w:val="30"/>
          <w:szCs w:val="30"/>
        </w:rPr>
      </w:pPr>
      <w:r>
        <w:rPr>
          <w:rFonts w:hint="eastAsia" w:asciiTheme="minorEastAsia" w:hAnsiTheme="minorEastAsia" w:eastAsiaTheme="minorEastAsia"/>
          <w:b/>
          <w:sz w:val="30"/>
          <w:szCs w:val="30"/>
        </w:rPr>
        <w:t>（四）其他需要说明的情况</w:t>
      </w:r>
    </w:p>
    <w:p>
      <w:pPr>
        <w:spacing w:line="360" w:lineRule="auto"/>
        <w:ind w:firstLine="600" w:firstLineChars="200"/>
        <w:rPr>
          <w:rFonts w:asciiTheme="minorEastAsia" w:hAnsiTheme="minorEastAsia" w:eastAsiaTheme="minorEastAsia"/>
          <w:sz w:val="30"/>
          <w:szCs w:val="30"/>
        </w:rPr>
      </w:pPr>
      <w:r>
        <w:rPr>
          <w:rFonts w:hint="eastAsia" w:asciiTheme="minorEastAsia" w:hAnsiTheme="minorEastAsia" w:eastAsiaTheme="minorEastAsia"/>
          <w:sz w:val="30"/>
          <w:szCs w:val="30"/>
        </w:rPr>
        <w:t>1、2017 年度国有资本经营预算财政拨款上年结转和结余 0 万元，本年收入 0 万元，本年支出 0 万元，年末结转和结余 0 万元。因此，2017年度国有资本经营预算财政拨款收入支出决算表为空。</w:t>
      </w:r>
    </w:p>
    <w:p>
      <w:pPr>
        <w:widowControl/>
        <w:spacing w:line="360" w:lineRule="auto"/>
        <w:ind w:firstLine="600" w:firstLineChars="200"/>
        <w:jc w:val="left"/>
        <w:rPr>
          <w:rFonts w:cs="宋体" w:asciiTheme="minorEastAsia" w:hAnsiTheme="minorEastAsia" w:eastAsiaTheme="minorEastAsia"/>
          <w:color w:val="000000"/>
          <w:kern w:val="0"/>
          <w:sz w:val="30"/>
          <w:szCs w:val="30"/>
        </w:rPr>
      </w:pPr>
      <w:r>
        <w:rPr>
          <w:rFonts w:hint="eastAsia" w:asciiTheme="minorEastAsia" w:hAnsiTheme="minorEastAsia" w:eastAsiaTheme="minorEastAsia"/>
          <w:sz w:val="30"/>
          <w:szCs w:val="30"/>
        </w:rPr>
        <w:t>2、</w:t>
      </w:r>
      <w:r>
        <w:rPr>
          <w:rFonts w:hint="eastAsia" w:cs="宋体" w:asciiTheme="minorEastAsia" w:hAnsiTheme="minorEastAsia" w:eastAsiaTheme="minorEastAsia"/>
          <w:color w:val="000000"/>
          <w:kern w:val="0"/>
          <w:sz w:val="30"/>
          <w:szCs w:val="30"/>
        </w:rPr>
        <w:t>017年政府采购7.49万元，其中电脑9台，金额4.46万元；打印机4台，金额1.14万元；高拍仪1台，金额0.25万元，数码相机2台，0.76万元；摄像机1台，金额0.89万元。</w:t>
      </w:r>
    </w:p>
    <w:p>
      <w:pPr>
        <w:spacing w:line="360" w:lineRule="auto"/>
        <w:ind w:firstLine="600" w:firstLineChars="200"/>
        <w:rPr>
          <w:rFonts w:asciiTheme="minorEastAsia" w:hAnsiTheme="minorEastAsia" w:eastAsiaTheme="minorEastAsia"/>
          <w:sz w:val="30"/>
          <w:szCs w:val="30"/>
        </w:rPr>
      </w:pPr>
    </w:p>
    <w:p>
      <w:pPr>
        <w:spacing w:line="360" w:lineRule="auto"/>
        <w:ind w:firstLine="723" w:firstLineChars="200"/>
        <w:jc w:val="center"/>
        <w:rPr>
          <w:rFonts w:cs="宋体" w:asciiTheme="minorEastAsia" w:hAnsiTheme="minorEastAsia" w:eastAsiaTheme="minorEastAsia"/>
          <w:b/>
          <w:color w:val="000000"/>
          <w:kern w:val="0"/>
          <w:sz w:val="36"/>
          <w:szCs w:val="36"/>
        </w:rPr>
      </w:pPr>
      <w:r>
        <w:rPr>
          <w:rFonts w:hint="eastAsia" w:cs="宋体" w:asciiTheme="minorEastAsia" w:hAnsiTheme="minorEastAsia" w:eastAsiaTheme="minorEastAsia"/>
          <w:b/>
          <w:color w:val="000000"/>
          <w:kern w:val="0"/>
          <w:sz w:val="36"/>
          <w:szCs w:val="36"/>
        </w:rPr>
        <w:t>第四部分 名词解释</w:t>
      </w:r>
    </w:p>
    <w:p>
      <w:pPr>
        <w:spacing w:line="360" w:lineRule="auto"/>
        <w:ind w:firstLine="720" w:firstLineChars="200"/>
        <w:jc w:val="center"/>
        <w:rPr>
          <w:rFonts w:cs="宋体" w:asciiTheme="minorEastAsia" w:hAnsiTheme="minorEastAsia" w:eastAsiaTheme="minorEastAsia"/>
          <w:color w:val="000000"/>
          <w:kern w:val="0"/>
          <w:sz w:val="36"/>
          <w:szCs w:val="36"/>
        </w:rPr>
      </w:pPr>
    </w:p>
    <w:p>
      <w:pPr>
        <w:widowControl/>
        <w:shd w:val="clear" w:color="auto" w:fill="FFFFFF"/>
        <w:spacing w:line="384" w:lineRule="atLeast"/>
        <w:ind w:firstLine="645"/>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（一）财政拨款收入：本年度从本级财政部门取得的财政拨款，包括一般公共预算财政拨款和政府性基金预算财政拨款。</w:t>
      </w:r>
    </w:p>
    <w:p>
      <w:pPr>
        <w:widowControl/>
        <w:shd w:val="clear" w:color="auto" w:fill="FFFFFF"/>
        <w:spacing w:line="384" w:lineRule="atLeast"/>
        <w:ind w:firstLine="645"/>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（二）事业收入：指事业单位开展专业业务活动及辅助活动所取得的收入。</w:t>
      </w:r>
    </w:p>
    <w:p>
      <w:pPr>
        <w:widowControl/>
        <w:shd w:val="clear" w:color="auto" w:fill="FFFFFF"/>
        <w:spacing w:line="384" w:lineRule="atLeast"/>
        <w:ind w:firstLine="645"/>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（三）其他收入：指除上述“财政拨款收入”、“事业收入”、“经营收入”等以外的收入。</w:t>
      </w:r>
    </w:p>
    <w:p>
      <w:pPr>
        <w:widowControl/>
        <w:shd w:val="clear" w:color="auto" w:fill="FFFFFF"/>
        <w:spacing w:line="384" w:lineRule="atLeast"/>
        <w:ind w:firstLine="645"/>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四）用事业基金弥补收支差额：指事业单位在用当年的“财政拨款收入”、“财政拨款结转和结余资金”、“事业收入”、“经营收入”、“其他收入”不足以安排当年支出的情况下，使用以前年度积累的事业基金（事业单位当年收支相抵后按国家规定提取、用于弥补以后年度收支差额的基金）弥补本年度收支缺口的资金。</w:t>
      </w:r>
    </w:p>
    <w:p>
      <w:pPr>
        <w:widowControl/>
        <w:shd w:val="clear" w:color="auto" w:fill="FFFFFF"/>
        <w:spacing w:line="384" w:lineRule="atLeast"/>
        <w:ind w:firstLine="645"/>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（五）年初结转和结余：指以前年度尚未完成、结转到本年仍按原规定用途继续使用的资金，或项目已完成等产生的结余资金。</w:t>
      </w:r>
    </w:p>
    <w:p>
      <w:pPr>
        <w:widowControl/>
        <w:shd w:val="clear" w:color="auto" w:fill="FFFFFF"/>
        <w:spacing w:line="384" w:lineRule="atLeast"/>
        <w:ind w:firstLine="645"/>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（六）结余分配：指事业单位按照事业单位会计制度的规定从非财政补助结余中分配的事业基金和职工福利基金等。</w:t>
      </w:r>
    </w:p>
    <w:p>
      <w:pPr>
        <w:widowControl/>
        <w:shd w:val="clear" w:color="auto" w:fill="FFFFFF"/>
        <w:spacing w:line="384" w:lineRule="atLeast"/>
        <w:ind w:firstLine="645"/>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（七）年末结转和结余：指单位按有关规定结转到下年或以后年度继续使用的资金，或项目已完成等产生的结余资金。</w:t>
      </w:r>
    </w:p>
    <w:p>
      <w:pPr>
        <w:widowControl/>
        <w:shd w:val="clear" w:color="auto" w:fill="FFFFFF"/>
        <w:spacing w:line="384" w:lineRule="atLeast"/>
        <w:ind w:firstLine="645"/>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（八）基本支出：填列单位为保障机构正常运转、完成日常工作任务而发生的各项支出。</w:t>
      </w:r>
    </w:p>
    <w:p>
      <w:pPr>
        <w:widowControl/>
        <w:shd w:val="clear" w:color="auto" w:fill="FFFFFF"/>
        <w:spacing w:line="384" w:lineRule="atLeast"/>
        <w:ind w:firstLine="645"/>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（九）项目支出：填列单位为完成特定的行政工作任务或事业发展目标，在基本支出之外发生的各项支出</w:t>
      </w:r>
    </w:p>
    <w:p>
      <w:pPr>
        <w:widowControl/>
        <w:shd w:val="clear" w:color="auto" w:fill="FFFFFF"/>
        <w:spacing w:line="384" w:lineRule="atLeast"/>
        <w:ind w:firstLine="645"/>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十）基本建设支出：填列由本级发展与改革部门集中安排的用于购置固定资产、战略性和应急性储备、土地和无形资产，以及购建基础设施、大型修缮所发生的一般公共预算财政拨款支出，不包括政府性基金、财政专户管理资金以及各类拼盘自筹资金等。</w:t>
      </w:r>
    </w:p>
    <w:p>
      <w:pPr>
        <w:widowControl/>
        <w:shd w:val="clear" w:color="auto" w:fill="FFFFFF"/>
        <w:spacing w:line="384" w:lineRule="atLeast"/>
        <w:ind w:firstLine="645"/>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（十一）其他资本性支出：填列由各级非发展与改革部门集中安排的用于购置固定资产、战备性和应急性储备、土地和无形资产，以及购建基础设施、大型修缮和财政支持企业更新改造所发生的支出。</w:t>
      </w:r>
    </w:p>
    <w:p>
      <w:pPr>
        <w:widowControl/>
        <w:shd w:val="clear" w:color="auto" w:fill="FFFFFF"/>
        <w:spacing w:line="384" w:lineRule="atLeast"/>
        <w:ind w:firstLine="645"/>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十二）“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购置支出（含车辆购置税）及租用费、燃料费、维修费、过路过桥费、保险费、安全奖励费用等支出；公务接待费反映单位按规定开支的各类公务接待（含外宾接待）支出。</w:t>
      </w:r>
    </w:p>
    <w:p>
      <w:pPr>
        <w:widowControl/>
        <w:shd w:val="clear" w:color="auto" w:fill="FFFFFF"/>
        <w:spacing w:line="384" w:lineRule="atLeast"/>
        <w:ind w:firstLine="645"/>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（十三）其他交通费用：填列单位除公务用车运行维护费以外的其他交通费用。如飞机、船舶等的燃料费、维修费、过桥过路费、保险费、出租车费用、公务交通补贴等。</w:t>
      </w:r>
    </w:p>
    <w:p>
      <w:pPr>
        <w:widowControl/>
        <w:shd w:val="clear" w:color="auto" w:fill="FFFFFF"/>
        <w:spacing w:line="384" w:lineRule="atLeast"/>
        <w:ind w:firstLine="645"/>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（十四）公务用车购置：填列单位公务用车车辆购置支出（含车辆购置税）。</w:t>
      </w:r>
    </w:p>
    <w:p>
      <w:pPr>
        <w:widowControl/>
        <w:shd w:val="clear" w:color="auto" w:fill="FFFFFF"/>
        <w:spacing w:line="384" w:lineRule="atLeast"/>
        <w:ind w:firstLine="645"/>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（十五）其他交通工具购置：填列单位除公务用车外的其他各类交通工具（如船舶、飞机）购置支出（含车辆购置税）。</w:t>
      </w:r>
    </w:p>
    <w:p>
      <w:pPr>
        <w:widowControl/>
        <w:shd w:val="clear" w:color="auto" w:fill="FFFFFF"/>
        <w:spacing w:line="384" w:lineRule="atLeast"/>
        <w:ind w:firstLine="645"/>
        <w:jc w:val="left"/>
        <w:rPr>
          <w:rFonts w:cs="宋体" w:asciiTheme="minorEastAsia" w:hAnsiTheme="minorEastAsia" w:eastAsiaTheme="minorEastAsia"/>
          <w:color w:val="000000"/>
          <w:kern w:val="0"/>
          <w:sz w:val="30"/>
          <w:szCs w:val="30"/>
        </w:rPr>
      </w:pPr>
      <w:r>
        <w:rPr>
          <w:rFonts w:hint="eastAsia" w:cs="宋体" w:asciiTheme="minorEastAsia" w:hAnsiTheme="minorEastAsia" w:eastAsiaTheme="minorEastAsia"/>
          <w:color w:val="000000"/>
          <w:kern w:val="0"/>
          <w:sz w:val="30"/>
          <w:szCs w:val="30"/>
        </w:rPr>
        <w:t>（十六） 机关运行经费：指为保障行政单位（包括参照公务员法管理的事业单位）运行用于购买货物和服务的各项资金，包括办公及印刷费、邮电费、差旅费、会议费、福利费、日常维修费、专用材料以及一般设备购置费、办公用房水电费、办公用房取暖费、办公用房物业管理费、公务用车运行维护费以及其他费用。</w:t>
      </w:r>
    </w:p>
    <w:p>
      <w:pPr>
        <w:spacing w:line="360" w:lineRule="auto"/>
        <w:ind w:firstLine="600" w:firstLineChars="200"/>
        <w:rPr>
          <w:rFonts w:cs="宋体" w:asciiTheme="minorEastAsia" w:hAnsiTheme="minorEastAsia" w:eastAsiaTheme="minorEastAsia"/>
          <w:color w:val="000000"/>
          <w:kern w:val="0"/>
          <w:sz w:val="30"/>
          <w:szCs w:val="30"/>
        </w:rPr>
      </w:pPr>
    </w:p>
    <w:sectPr>
      <w:pgSz w:w="11906" w:h="16838"/>
      <w:pgMar w:top="1440" w:right="1797" w:bottom="1134"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7467AD"/>
    <w:multiLevelType w:val="multilevel"/>
    <w:tmpl w:val="387467AD"/>
    <w:lvl w:ilvl="0" w:tentative="0">
      <w:start w:val="1"/>
      <w:numFmt w:val="none"/>
      <w:lvlText w:val="一、"/>
      <w:lvlJc w:val="left"/>
      <w:pPr>
        <w:ind w:left="1322" w:hanging="720"/>
      </w:pPr>
      <w:rPr>
        <w:rFonts w:hint="default"/>
      </w:rPr>
    </w:lvl>
    <w:lvl w:ilvl="1" w:tentative="0">
      <w:start w:val="1"/>
      <w:numFmt w:val="lowerLetter"/>
      <w:lvlText w:val="%2)"/>
      <w:lvlJc w:val="left"/>
      <w:pPr>
        <w:ind w:left="1442" w:hanging="420"/>
      </w:pPr>
    </w:lvl>
    <w:lvl w:ilvl="2" w:tentative="0">
      <w:start w:val="1"/>
      <w:numFmt w:val="lowerRoman"/>
      <w:lvlText w:val="%3."/>
      <w:lvlJc w:val="right"/>
      <w:pPr>
        <w:ind w:left="1862" w:hanging="420"/>
      </w:pPr>
    </w:lvl>
    <w:lvl w:ilvl="3" w:tentative="0">
      <w:start w:val="1"/>
      <w:numFmt w:val="decimal"/>
      <w:lvlText w:val="%4."/>
      <w:lvlJc w:val="left"/>
      <w:pPr>
        <w:ind w:left="2282" w:hanging="420"/>
      </w:pPr>
    </w:lvl>
    <w:lvl w:ilvl="4" w:tentative="0">
      <w:start w:val="1"/>
      <w:numFmt w:val="lowerLetter"/>
      <w:lvlText w:val="%5)"/>
      <w:lvlJc w:val="left"/>
      <w:pPr>
        <w:ind w:left="2702" w:hanging="420"/>
      </w:pPr>
    </w:lvl>
    <w:lvl w:ilvl="5" w:tentative="0">
      <w:start w:val="1"/>
      <w:numFmt w:val="lowerRoman"/>
      <w:lvlText w:val="%6."/>
      <w:lvlJc w:val="right"/>
      <w:pPr>
        <w:ind w:left="3122" w:hanging="420"/>
      </w:pPr>
    </w:lvl>
    <w:lvl w:ilvl="6" w:tentative="0">
      <w:start w:val="1"/>
      <w:numFmt w:val="decimal"/>
      <w:lvlText w:val="%7."/>
      <w:lvlJc w:val="left"/>
      <w:pPr>
        <w:ind w:left="3542" w:hanging="420"/>
      </w:pPr>
    </w:lvl>
    <w:lvl w:ilvl="7" w:tentative="0">
      <w:start w:val="1"/>
      <w:numFmt w:val="lowerLetter"/>
      <w:lvlText w:val="%8)"/>
      <w:lvlJc w:val="left"/>
      <w:pPr>
        <w:ind w:left="3962" w:hanging="420"/>
      </w:pPr>
    </w:lvl>
    <w:lvl w:ilvl="8" w:tentative="0">
      <w:start w:val="1"/>
      <w:numFmt w:val="lowerRoman"/>
      <w:lvlText w:val="%9."/>
      <w:lvlJc w:val="right"/>
      <w:pPr>
        <w:ind w:left="4382"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mRiMTYxYTJhYzUxZTJjZjYxYTNiNjM5Y2RmNjUyZTAifQ=="/>
  </w:docVars>
  <w:rsids>
    <w:rsidRoot w:val="00465DF6"/>
    <w:rsid w:val="00044607"/>
    <w:rsid w:val="0008386A"/>
    <w:rsid w:val="000928CB"/>
    <w:rsid w:val="000F09F1"/>
    <w:rsid w:val="0011733F"/>
    <w:rsid w:val="00156C9D"/>
    <w:rsid w:val="001C64D2"/>
    <w:rsid w:val="00225EBE"/>
    <w:rsid w:val="00291020"/>
    <w:rsid w:val="00304DE1"/>
    <w:rsid w:val="003209CC"/>
    <w:rsid w:val="00322E35"/>
    <w:rsid w:val="003329D1"/>
    <w:rsid w:val="00344228"/>
    <w:rsid w:val="003C5341"/>
    <w:rsid w:val="003F7E39"/>
    <w:rsid w:val="004410EF"/>
    <w:rsid w:val="00465DF6"/>
    <w:rsid w:val="00473F0C"/>
    <w:rsid w:val="00485628"/>
    <w:rsid w:val="004B15BC"/>
    <w:rsid w:val="00500C2A"/>
    <w:rsid w:val="00522D1F"/>
    <w:rsid w:val="00535E32"/>
    <w:rsid w:val="00554849"/>
    <w:rsid w:val="005C519E"/>
    <w:rsid w:val="005C58F7"/>
    <w:rsid w:val="005F7633"/>
    <w:rsid w:val="0060513A"/>
    <w:rsid w:val="00622532"/>
    <w:rsid w:val="00654FBA"/>
    <w:rsid w:val="0066282C"/>
    <w:rsid w:val="00670D32"/>
    <w:rsid w:val="00693DCE"/>
    <w:rsid w:val="00786568"/>
    <w:rsid w:val="007952F9"/>
    <w:rsid w:val="007A5486"/>
    <w:rsid w:val="007B1E91"/>
    <w:rsid w:val="007B327C"/>
    <w:rsid w:val="007C5D62"/>
    <w:rsid w:val="007D5169"/>
    <w:rsid w:val="007E3FFA"/>
    <w:rsid w:val="008325AA"/>
    <w:rsid w:val="008335C8"/>
    <w:rsid w:val="00842B56"/>
    <w:rsid w:val="0086431C"/>
    <w:rsid w:val="00866C39"/>
    <w:rsid w:val="008768A8"/>
    <w:rsid w:val="00890FB3"/>
    <w:rsid w:val="008A4DA6"/>
    <w:rsid w:val="008A65C8"/>
    <w:rsid w:val="008A79DE"/>
    <w:rsid w:val="008B46B9"/>
    <w:rsid w:val="008D24E8"/>
    <w:rsid w:val="008D3CBC"/>
    <w:rsid w:val="008D5CD1"/>
    <w:rsid w:val="008E3EB8"/>
    <w:rsid w:val="008E57CE"/>
    <w:rsid w:val="00905B42"/>
    <w:rsid w:val="00915D8A"/>
    <w:rsid w:val="00943E96"/>
    <w:rsid w:val="00950649"/>
    <w:rsid w:val="0098774A"/>
    <w:rsid w:val="00992CE5"/>
    <w:rsid w:val="009952C1"/>
    <w:rsid w:val="009A10D6"/>
    <w:rsid w:val="009B4165"/>
    <w:rsid w:val="00A17ED5"/>
    <w:rsid w:val="00A31F9B"/>
    <w:rsid w:val="00A82C7C"/>
    <w:rsid w:val="00A95F1D"/>
    <w:rsid w:val="00AB456F"/>
    <w:rsid w:val="00AB471B"/>
    <w:rsid w:val="00AC7CE1"/>
    <w:rsid w:val="00AD2439"/>
    <w:rsid w:val="00AE3F38"/>
    <w:rsid w:val="00B06FAE"/>
    <w:rsid w:val="00B44AD2"/>
    <w:rsid w:val="00BB28C2"/>
    <w:rsid w:val="00BD4865"/>
    <w:rsid w:val="00C537B4"/>
    <w:rsid w:val="00C61163"/>
    <w:rsid w:val="00C6297F"/>
    <w:rsid w:val="00C6350A"/>
    <w:rsid w:val="00C767C1"/>
    <w:rsid w:val="00C9293D"/>
    <w:rsid w:val="00CA34E4"/>
    <w:rsid w:val="00CD1B49"/>
    <w:rsid w:val="00D052A6"/>
    <w:rsid w:val="00D51B52"/>
    <w:rsid w:val="00D5282C"/>
    <w:rsid w:val="00DF310C"/>
    <w:rsid w:val="00E12188"/>
    <w:rsid w:val="00E32163"/>
    <w:rsid w:val="00E430C4"/>
    <w:rsid w:val="00E64804"/>
    <w:rsid w:val="00E94DDE"/>
    <w:rsid w:val="00EB6962"/>
    <w:rsid w:val="00EC19A7"/>
    <w:rsid w:val="00EE7200"/>
    <w:rsid w:val="00F01FE1"/>
    <w:rsid w:val="00F04634"/>
    <w:rsid w:val="00F053E0"/>
    <w:rsid w:val="00F300E2"/>
    <w:rsid w:val="00F34C9F"/>
    <w:rsid w:val="00F411B6"/>
    <w:rsid w:val="00F82063"/>
    <w:rsid w:val="00F8642E"/>
    <w:rsid w:val="00F87BB0"/>
    <w:rsid w:val="00FB5970"/>
    <w:rsid w:val="00FD1A63"/>
    <w:rsid w:val="00FF45B7"/>
    <w:rsid w:val="628967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2"/>
      <w:lang w:val="en-US" w:eastAsia="zh-CN" w:bidi="ar-SA"/>
    </w:rPr>
  </w:style>
  <w:style w:type="character" w:default="1" w:styleId="7">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Balloon Text"/>
    <w:basedOn w:val="1"/>
    <w:link w:val="9"/>
    <w:semiHidden/>
    <w:unhideWhenUsed/>
    <w:uiPriority w:val="99"/>
    <w:rPr>
      <w:sz w:val="18"/>
      <w:szCs w:val="18"/>
    </w:rPr>
  </w:style>
  <w:style w:type="paragraph" w:styleId="3">
    <w:name w:val="footer"/>
    <w:basedOn w:val="1"/>
    <w:link w:val="11"/>
    <w:semiHidden/>
    <w:unhideWhenUsed/>
    <w:uiPriority w:val="99"/>
    <w:pPr>
      <w:tabs>
        <w:tab w:val="center" w:pos="4153"/>
        <w:tab w:val="right" w:pos="8306"/>
      </w:tabs>
      <w:snapToGrid w:val="0"/>
      <w:jc w:val="left"/>
    </w:pPr>
    <w:rPr>
      <w:sz w:val="18"/>
      <w:szCs w:val="18"/>
    </w:rPr>
  </w:style>
  <w:style w:type="paragraph" w:styleId="4">
    <w:name w:val="header"/>
    <w:basedOn w:val="1"/>
    <w:link w:val="10"/>
    <w:semiHidden/>
    <w:unhideWhenUsed/>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8">
    <w:name w:val="List Paragraph"/>
    <w:basedOn w:val="1"/>
    <w:qFormat/>
    <w:uiPriority w:val="34"/>
    <w:pPr>
      <w:ind w:firstLine="420" w:firstLineChars="200"/>
    </w:pPr>
  </w:style>
  <w:style w:type="character" w:customStyle="1" w:styleId="9">
    <w:name w:val="批注框文本 Char"/>
    <w:basedOn w:val="7"/>
    <w:link w:val="2"/>
    <w:semiHidden/>
    <w:uiPriority w:val="99"/>
    <w:rPr>
      <w:rFonts w:ascii="Calibri" w:hAnsi="Calibri" w:eastAsia="宋体" w:cs="Times New Roman"/>
      <w:sz w:val="18"/>
      <w:szCs w:val="18"/>
    </w:rPr>
  </w:style>
  <w:style w:type="character" w:customStyle="1" w:styleId="10">
    <w:name w:val="页眉 Char"/>
    <w:basedOn w:val="7"/>
    <w:link w:val="4"/>
    <w:semiHidden/>
    <w:uiPriority w:val="99"/>
    <w:rPr>
      <w:rFonts w:ascii="Calibri" w:hAnsi="Calibri" w:eastAsia="宋体" w:cs="Times New Roman"/>
      <w:sz w:val="18"/>
      <w:szCs w:val="18"/>
    </w:rPr>
  </w:style>
  <w:style w:type="character" w:customStyle="1" w:styleId="11">
    <w:name w:val="页脚 Char"/>
    <w:basedOn w:val="7"/>
    <w:link w:val="3"/>
    <w:semiHidden/>
    <w:uiPriority w:val="99"/>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32C3D235-1624-4FA8-B3F7-DD561C2E5048}">
  <ds:schemaRefs/>
</ds:datastoreItem>
</file>

<file path=docProps/app.xml><?xml version="1.0" encoding="utf-8"?>
<Properties xmlns="http://schemas.openxmlformats.org/officeDocument/2006/extended-properties" xmlns:vt="http://schemas.openxmlformats.org/officeDocument/2006/docPropsVTypes">
  <Template>Normal</Template>
  <Pages>14</Pages>
  <Words>1089</Words>
  <Characters>6208</Characters>
  <Lines>51</Lines>
  <Paragraphs>14</Paragraphs>
  <TotalTime>1056</TotalTime>
  <ScaleCrop>false</ScaleCrop>
  <LinksUpToDate>false</LinksUpToDate>
  <CharactersWithSpaces>7283</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2017-11-02T05:56:00Z</dcterms:created>
  <dc:creator>xb21cn</dc:creator>
  <cp:lastModifiedBy>WPS_1338247543</cp:lastModifiedBy>
  <cp:lastPrinted>2018-11-15T08:17:00Z</cp:lastPrinted>
  <dcterms:modified xsi:type="dcterms:W3CDTF">2024-01-31T08:04:03Z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1077CC527F4C4F30924DCA90C595CE36_12</vt:lpwstr>
  </property>
</Properties>
</file>