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ind w:firstLine="4763" w:firstLineChars="1567"/>
        <w:rPr>
          <w:rFonts w:hint="eastAsia" w:ascii="仿宋_GB2312" w:hAnsi="仿宋" w:eastAsia="仿宋_GB2312" w:cs="黑体"/>
          <w:color w:val="000000"/>
          <w:spacing w:val="-8"/>
          <w:sz w:val="32"/>
          <w:szCs w:val="32"/>
        </w:rPr>
      </w:pPr>
    </w:p>
    <w:p>
      <w:pPr>
        <w:spacing w:line="490" w:lineRule="exact"/>
        <w:ind w:firstLine="4763" w:firstLineChars="1567"/>
        <w:rPr>
          <w:rFonts w:hint="eastAsia" w:ascii="仿宋_GB2312" w:hAnsi="仿宋" w:eastAsia="仿宋_GB2312" w:cs="黑体"/>
          <w:color w:val="000000"/>
          <w:spacing w:val="-8"/>
          <w:sz w:val="32"/>
          <w:szCs w:val="32"/>
        </w:rPr>
      </w:pPr>
    </w:p>
    <w:p>
      <w:pPr>
        <w:spacing w:line="490" w:lineRule="exact"/>
        <w:ind w:firstLine="4763" w:firstLineChars="1567"/>
        <w:rPr>
          <w:rFonts w:hint="eastAsia" w:ascii="仿宋_GB2312" w:hAnsi="仿宋" w:eastAsia="仿宋_GB2312" w:cs="黑体"/>
          <w:color w:val="000000"/>
          <w:spacing w:val="-8"/>
          <w:sz w:val="32"/>
          <w:szCs w:val="32"/>
        </w:rPr>
      </w:pPr>
    </w:p>
    <w:p>
      <w:pPr>
        <w:spacing w:line="490" w:lineRule="exact"/>
        <w:ind w:firstLine="4763" w:firstLineChars="1567"/>
        <w:rPr>
          <w:rFonts w:hint="eastAsia" w:ascii="仿宋_GB2312" w:hAnsi="仿宋" w:eastAsia="仿宋_GB2312" w:cs="黑体"/>
          <w:color w:val="000000"/>
          <w:spacing w:val="-8"/>
          <w:sz w:val="32"/>
          <w:szCs w:val="32"/>
        </w:rPr>
      </w:pPr>
    </w:p>
    <w:p>
      <w:pPr>
        <w:spacing w:line="490" w:lineRule="exact"/>
        <w:ind w:firstLine="4763" w:firstLineChars="1567"/>
        <w:jc w:val="right"/>
        <w:rPr>
          <w:rFonts w:hint="eastAsia" w:ascii="仿宋_GB2312" w:hAnsi="仿宋" w:eastAsia="仿宋_GB2312" w:cs="黑体"/>
          <w:color w:val="000000"/>
          <w:spacing w:val="-8"/>
          <w:sz w:val="32"/>
          <w:szCs w:val="32"/>
        </w:rPr>
      </w:pPr>
      <w:r>
        <w:rPr>
          <w:rFonts w:hint="eastAsia" w:ascii="仿宋_GB2312" w:hAnsi="仿宋" w:eastAsia="仿宋_GB2312" w:cs="黑体"/>
          <w:color w:val="000000"/>
          <w:spacing w:val="-8"/>
          <w:sz w:val="32"/>
          <w:szCs w:val="32"/>
        </w:rPr>
        <w:t>是否同意公开：是</w:t>
      </w:r>
    </w:p>
    <w:p>
      <w:pPr>
        <w:spacing w:line="490" w:lineRule="exact"/>
        <w:ind w:firstLine="4857" w:firstLineChars="1518"/>
        <w:jc w:val="right"/>
        <w:rPr>
          <w:rFonts w:hint="eastAsia" w:ascii="仿宋_GB2312" w:hAnsi="仿宋" w:eastAsia="仿宋_GB2312"/>
          <w:color w:val="000000"/>
          <w:sz w:val="32"/>
          <w:szCs w:val="32"/>
        </w:rPr>
      </w:pPr>
      <w:r>
        <w:rPr>
          <w:rFonts w:hint="eastAsia" w:ascii="仿宋_GB2312" w:hAnsi="仿宋" w:eastAsia="仿宋_GB2312" w:cs="宋体"/>
          <w:color w:val="000000"/>
          <w:sz w:val="32"/>
          <w:szCs w:val="32"/>
        </w:rPr>
        <w:t>办理结果：</w:t>
      </w:r>
      <w:r>
        <w:rPr>
          <w:rFonts w:hint="eastAsia" w:ascii="仿宋_GB2312" w:hAnsi="仿宋" w:eastAsia="仿宋_GB2312"/>
          <w:color w:val="000000"/>
          <w:sz w:val="32"/>
          <w:szCs w:val="32"/>
        </w:rPr>
        <w:t>A</w:t>
      </w:r>
    </w:p>
    <w:p>
      <w:pPr>
        <w:spacing w:line="490" w:lineRule="exact"/>
        <w:jc w:val="right"/>
        <w:rPr>
          <w:rFonts w:hint="eastAsia" w:ascii="仿宋_GB2312" w:hAnsi="仿宋" w:eastAsia="仿宋_GB2312"/>
          <w:color w:val="000000"/>
          <w:sz w:val="32"/>
          <w:szCs w:val="32"/>
        </w:rPr>
      </w:pPr>
      <w:r>
        <w:rPr>
          <w:rFonts w:hint="eastAsia" w:ascii="仿宋_GB2312" w:hAnsi="仿宋" w:eastAsia="仿宋_GB2312" w:cs="宋体"/>
          <w:color w:val="000000"/>
          <w:sz w:val="32"/>
          <w:szCs w:val="32"/>
          <w:lang w:eastAsia="zh-CN"/>
        </w:rPr>
        <w:t>邯房案</w:t>
      </w:r>
      <w:r>
        <w:rPr>
          <w:rFonts w:hint="eastAsia" w:ascii="仿宋_GB2312" w:hAnsi="仿宋" w:eastAsia="仿宋_GB2312" w:cs="宋体"/>
          <w:color w:val="000000"/>
          <w:sz w:val="32"/>
          <w:szCs w:val="32"/>
        </w:rPr>
        <w:t>字</w:t>
      </w:r>
      <w:r>
        <w:rPr>
          <w:rFonts w:hint="eastAsia" w:ascii="仿宋_GB2312" w:hAnsi="仿宋" w:eastAsia="仿宋_GB2312" w:cs="Malgun Gothic Semilight"/>
          <w:color w:val="000000"/>
          <w:sz w:val="32"/>
          <w:szCs w:val="32"/>
        </w:rPr>
        <w:t>〔</w:t>
      </w:r>
      <w:r>
        <w:rPr>
          <w:rFonts w:hint="eastAsia" w:ascii="仿宋_GB2312" w:hAnsi="仿宋" w:eastAsia="仿宋_GB2312" w:cs="Malgun Gothic Semilight"/>
          <w:color w:val="000000"/>
          <w:sz w:val="32"/>
          <w:szCs w:val="32"/>
          <w:lang w:val="en-US" w:eastAsia="zh-CN"/>
        </w:rPr>
        <w:t>2018</w:t>
      </w:r>
      <w:r>
        <w:rPr>
          <w:rFonts w:hint="eastAsia" w:ascii="仿宋_GB2312" w:hAnsi="仿宋" w:eastAsia="仿宋_GB2312"/>
          <w:color w:val="000000"/>
          <w:sz w:val="32"/>
          <w:szCs w:val="32"/>
        </w:rPr>
        <w:t>〕</w:t>
      </w:r>
      <w:r>
        <w:rPr>
          <w:rFonts w:hint="eastAsia" w:ascii="仿宋_GB2312" w:hAnsi="仿宋" w:eastAsia="仿宋_GB2312" w:cs="宋体"/>
          <w:color w:val="000000"/>
          <w:sz w:val="32"/>
          <w:szCs w:val="32"/>
        </w:rPr>
        <w:t>第</w:t>
      </w:r>
      <w:r>
        <w:rPr>
          <w:rFonts w:hint="eastAsia" w:ascii="仿宋_GB2312" w:hAnsi="仿宋" w:eastAsia="仿宋_GB2312" w:cs="宋体"/>
          <w:color w:val="000000"/>
          <w:sz w:val="32"/>
          <w:szCs w:val="32"/>
          <w:lang w:val="en-US" w:eastAsia="zh-CN"/>
        </w:rPr>
        <w:t>15</w:t>
      </w:r>
      <w:r>
        <w:rPr>
          <w:rFonts w:hint="eastAsia" w:ascii="仿宋_GB2312" w:hAnsi="仿宋" w:eastAsia="仿宋_GB2312" w:cs="宋体"/>
          <w:color w:val="000000"/>
          <w:sz w:val="32"/>
          <w:szCs w:val="32"/>
        </w:rPr>
        <w:t>号</w:t>
      </w:r>
    </w:p>
    <w:p>
      <w:pPr>
        <w:spacing w:line="490" w:lineRule="exact"/>
        <w:ind w:firstLine="5708" w:firstLineChars="1784"/>
        <w:rPr>
          <w:rFonts w:hint="eastAsia" w:ascii="仿宋_GB2312" w:eastAsia="仿宋_GB2312"/>
          <w:color w:val="000000"/>
          <w:sz w:val="32"/>
          <w:szCs w:val="32"/>
        </w:rPr>
      </w:pPr>
    </w:p>
    <w:p>
      <w:pPr>
        <w:spacing w:line="560" w:lineRule="exact"/>
        <w:jc w:val="center"/>
        <w:rPr>
          <w:rFonts w:hint="eastAsia" w:ascii="宋体" w:hAnsi="宋体"/>
          <w:b/>
          <w:color w:val="000000"/>
          <w:sz w:val="44"/>
          <w:szCs w:val="44"/>
        </w:rPr>
      </w:pPr>
      <w:r>
        <w:rPr>
          <w:rFonts w:hint="eastAsia" w:ascii="宋体" w:hAnsi="宋体" w:cs="宋体"/>
          <w:b/>
          <w:color w:val="000000"/>
          <w:sz w:val="44"/>
          <w:szCs w:val="44"/>
        </w:rPr>
        <w:t>对邯郸市第</w:t>
      </w:r>
      <w:r>
        <w:rPr>
          <w:rFonts w:hint="eastAsia" w:ascii="宋体" w:hAnsi="宋体" w:cs="宋体"/>
          <w:b/>
          <w:color w:val="000000"/>
          <w:sz w:val="44"/>
          <w:szCs w:val="44"/>
          <w:lang w:eastAsia="zh-CN"/>
        </w:rPr>
        <w:t>十五</w:t>
      </w:r>
      <w:r>
        <w:rPr>
          <w:rFonts w:hint="eastAsia" w:ascii="宋体" w:hAnsi="宋体" w:cs="宋体"/>
          <w:b/>
          <w:color w:val="000000"/>
          <w:sz w:val="44"/>
          <w:szCs w:val="44"/>
        </w:rPr>
        <w:t>届人民代表大会</w:t>
      </w:r>
    </w:p>
    <w:p>
      <w:pPr>
        <w:spacing w:line="560" w:lineRule="exact"/>
        <w:jc w:val="center"/>
        <w:rPr>
          <w:rFonts w:hint="eastAsia" w:ascii="宋体" w:hAnsi="宋体"/>
          <w:b/>
          <w:color w:val="000000"/>
          <w:sz w:val="44"/>
          <w:szCs w:val="44"/>
        </w:rPr>
      </w:pPr>
      <w:r>
        <w:rPr>
          <w:rFonts w:hint="eastAsia" w:ascii="宋体" w:hAnsi="宋体" w:cs="宋体"/>
          <w:b/>
          <w:color w:val="000000"/>
          <w:sz w:val="44"/>
          <w:szCs w:val="44"/>
        </w:rPr>
        <w:t>第</w:t>
      </w:r>
      <w:r>
        <w:rPr>
          <w:rFonts w:hint="eastAsia" w:ascii="宋体" w:hAnsi="宋体" w:cs="宋体"/>
          <w:b/>
          <w:color w:val="000000"/>
          <w:sz w:val="44"/>
          <w:szCs w:val="44"/>
          <w:lang w:eastAsia="zh-CN"/>
        </w:rPr>
        <w:t>三</w:t>
      </w:r>
      <w:r>
        <w:rPr>
          <w:rFonts w:hint="eastAsia" w:ascii="宋体" w:hAnsi="宋体" w:cs="宋体"/>
          <w:b/>
          <w:color w:val="000000"/>
          <w:sz w:val="44"/>
          <w:szCs w:val="44"/>
        </w:rPr>
        <w:t>次会议第</w:t>
      </w:r>
      <w:r>
        <w:rPr>
          <w:rFonts w:hint="eastAsia" w:ascii="宋体" w:hAnsi="宋体" w:cs="宋体"/>
          <w:b/>
          <w:color w:val="000000"/>
          <w:sz w:val="44"/>
          <w:szCs w:val="44"/>
          <w:lang w:val="en-US" w:eastAsia="zh-CN"/>
        </w:rPr>
        <w:t>47</w:t>
      </w:r>
      <w:r>
        <w:rPr>
          <w:rFonts w:hint="eastAsia" w:ascii="宋体" w:hAnsi="宋体" w:cs="宋体"/>
          <w:b/>
          <w:color w:val="000000"/>
          <w:sz w:val="44"/>
          <w:szCs w:val="44"/>
        </w:rPr>
        <w:t>号建议的答复</w:t>
      </w:r>
    </w:p>
    <w:p>
      <w:pPr>
        <w:spacing w:line="490" w:lineRule="exact"/>
        <w:rPr>
          <w:rFonts w:hint="eastAsia" w:ascii="仿宋_GB2312" w:eastAsia="仿宋_GB2312"/>
          <w:color w:val="000000"/>
          <w:sz w:val="32"/>
          <w:szCs w:val="32"/>
        </w:rPr>
      </w:pPr>
    </w:p>
    <w:p>
      <w:pPr>
        <w:spacing w:line="4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杨国彬代表</w:t>
      </w:r>
      <w:r>
        <w:rPr>
          <w:rFonts w:hint="eastAsia" w:ascii="仿宋_GB2312" w:hAnsi="仿宋_GB2312" w:eastAsia="仿宋_GB2312" w:cs="仿宋_GB2312"/>
          <w:color w:val="000000"/>
          <w:sz w:val="32"/>
          <w:szCs w:val="32"/>
        </w:rPr>
        <w:t>：</w:t>
      </w:r>
    </w:p>
    <w:p>
      <w:pPr>
        <w:spacing w:line="460" w:lineRule="exact"/>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您提出的</w:t>
      </w:r>
      <w:r>
        <w:rPr>
          <w:rFonts w:hint="eastAsia" w:ascii="仿宋_GB2312" w:hAnsi="仿宋_GB2312" w:eastAsia="仿宋_GB2312" w:cs="仿宋_GB2312"/>
          <w:sz w:val="32"/>
          <w:szCs w:val="32"/>
        </w:rPr>
        <w:t>“关于规范居民住宅小区物业管理”</w:t>
      </w:r>
      <w:r>
        <w:rPr>
          <w:rFonts w:hint="eastAsia" w:ascii="仿宋_GB2312" w:hAnsi="仿宋_GB2312" w:eastAsia="仿宋_GB2312" w:cs="仿宋_GB2312"/>
          <w:color w:val="000000"/>
          <w:sz w:val="32"/>
          <w:szCs w:val="32"/>
        </w:rPr>
        <w:t>的建议收悉，现答复如下：</w:t>
      </w:r>
    </w:p>
    <w:p>
      <w:pPr>
        <w:ind w:firstLine="645"/>
        <w:rPr>
          <w:rFonts w:hint="eastAsia" w:ascii="黑体" w:hAnsi="黑体" w:eastAsia="黑体"/>
          <w:bCs/>
          <w:sz w:val="32"/>
          <w:szCs w:val="32"/>
        </w:rPr>
      </w:pPr>
      <w:r>
        <w:rPr>
          <w:rFonts w:hint="eastAsia" w:ascii="黑体" w:hAnsi="黑体" w:eastAsia="黑体"/>
          <w:bCs/>
          <w:sz w:val="32"/>
          <w:szCs w:val="32"/>
        </w:rPr>
        <w:t>一、建立物业服务企业信用信息等级管理，继续加强对物业服务企业的行业监管力度</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2017年，国务院取消了物业服务企业资质证书制度后，放开了市场准入管制，我局作为物业管理行政管理部门也改进了监管手段，出台了《邯郸市物业服务企业信用评价综合管理办法》，建立以信用为核心的新型市场监管体系。</w:t>
      </w:r>
      <w:r>
        <w:rPr>
          <w:rFonts w:hint="eastAsia" w:ascii="仿宋_GB2312" w:hAnsi="仿宋_GB2312" w:eastAsia="仿宋_GB2312" w:cs="仿宋_GB2312"/>
          <w:bCs/>
          <w:sz w:val="32"/>
          <w:szCs w:val="32"/>
        </w:rPr>
        <w:t>以信用体系平台为基础，以信用法律制度为保障，以信用信息公示共享为依托，以企业红黑名单制度为重点，以守信联合奖励和失信联合惩戒为抓手的物业服务市场监管新机制。企业违反相关规定，将予以信用减分，直至拉黑从物业管理市场中清理出去。同时，今年我局将</w:t>
      </w:r>
      <w:r>
        <w:rPr>
          <w:rFonts w:hint="eastAsia" w:ascii="仿宋_GB2312" w:hAnsi="仿宋_GB2312" w:eastAsia="仿宋_GB2312" w:cs="仿宋_GB2312"/>
          <w:sz w:val="32"/>
          <w:szCs w:val="32"/>
        </w:rPr>
        <w:t>安排部署对全市物业服务企业进行市场整顿秩序大检查，建立企业信用档案，对不良企业的不良行为记录在档。</w:t>
      </w:r>
      <w:r>
        <w:rPr>
          <w:rFonts w:hint="eastAsia" w:ascii="仿宋_GB2312" w:hAnsi="仿宋_GB2312" w:eastAsia="仿宋_GB2312" w:cs="仿宋_GB2312"/>
          <w:bCs/>
          <w:sz w:val="32"/>
          <w:szCs w:val="32"/>
        </w:rPr>
        <w:t>加强企业对物业服务的正确认识，充分认识到业主是第一位的、服务是第一位的经营理念。</w:t>
      </w:r>
    </w:p>
    <w:p>
      <w:pPr>
        <w:ind w:left="645"/>
        <w:rPr>
          <w:rFonts w:hint="eastAsia" w:ascii="黑体" w:hAnsi="黑体" w:eastAsia="黑体"/>
          <w:bCs/>
          <w:sz w:val="32"/>
          <w:szCs w:val="32"/>
        </w:rPr>
      </w:pPr>
      <w:r>
        <w:rPr>
          <w:rFonts w:hint="eastAsia" w:ascii="黑体" w:hAnsi="黑体" w:eastAsia="黑体"/>
          <w:sz w:val="32"/>
          <w:szCs w:val="32"/>
        </w:rPr>
        <w:t>二、</w:t>
      </w:r>
      <w:r>
        <w:rPr>
          <w:rFonts w:hint="eastAsia" w:ascii="黑体" w:hAnsi="黑体" w:eastAsia="黑体"/>
          <w:bCs/>
          <w:sz w:val="32"/>
          <w:szCs w:val="32"/>
        </w:rPr>
        <w:t>提高物业管理从业人员的素质，抓好队伍建设，提</w:t>
      </w:r>
    </w:p>
    <w:p>
      <w:pPr>
        <w:rPr>
          <w:rFonts w:hint="eastAsia" w:ascii="黑体" w:hAnsi="黑体" w:eastAsia="黑体"/>
          <w:bCs/>
          <w:sz w:val="32"/>
          <w:szCs w:val="32"/>
        </w:rPr>
      </w:pPr>
      <w:r>
        <w:rPr>
          <w:rFonts w:hint="eastAsia" w:ascii="黑体" w:hAnsi="黑体" w:eastAsia="黑体"/>
          <w:bCs/>
          <w:sz w:val="32"/>
          <w:szCs w:val="32"/>
        </w:rPr>
        <w:t>升服务质量</w:t>
      </w:r>
    </w:p>
    <w:p>
      <w:pPr>
        <w:ind w:firstLine="627" w:firstLineChars="196"/>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市从去年11月至今年5月专门对企业的主要管理人员进行了业务培训。今年仍将继续组织区县开展企业员工的业务培训，提高服务水平和服务质量。并委托市物业管理协会已经举办了五期“初级建（构）筑物业消防员培训班”，300多名安保人员取得了公安部消防局颁发的岗位证书。同时，加强对业主委员会委员相关物业管理知识的培训，增强业主委员会委员的法律意识、履职意识和监督物业企业服务的能力。</w:t>
      </w:r>
    </w:p>
    <w:p>
      <w:pPr>
        <w:ind w:firstLine="640" w:firstLineChars="200"/>
        <w:rPr>
          <w:rFonts w:hint="eastAsia" w:ascii="仿宋" w:hAnsi="仿宋" w:eastAsia="仿宋"/>
          <w:b/>
          <w:sz w:val="32"/>
          <w:szCs w:val="32"/>
        </w:rPr>
      </w:pPr>
      <w:r>
        <w:rPr>
          <w:rFonts w:hint="eastAsia" w:ascii="黑体" w:hAnsi="黑体" w:eastAsia="黑体"/>
          <w:sz w:val="32"/>
          <w:szCs w:val="32"/>
        </w:rPr>
        <w:t>三、加强宣传力度，发挥优秀住宅小区引领示范作用</w:t>
      </w:r>
    </w:p>
    <w:p>
      <w:pPr>
        <w:pStyle w:val="2"/>
        <w:rPr>
          <w:rFonts w:hint="eastAsia" w:ascii="仿宋_GB2312" w:hAnsi="仿宋_GB2312" w:eastAsia="仿宋_GB2312" w:cs="仿宋_GB2312"/>
          <w:szCs w:val="32"/>
        </w:rPr>
      </w:pPr>
      <w:r>
        <w:rPr>
          <w:rFonts w:hint="eastAsia" w:ascii="仿宋_GB2312" w:hAnsi="仿宋_GB2312" w:eastAsia="仿宋_GB2312" w:cs="仿宋_GB2312"/>
          <w:szCs w:val="32"/>
        </w:rPr>
        <w:t>一是为了加强广大业主对物业管理相关政策的了解，支持和关心物业管理工作，我市将每年7月的第一个星期六作为全市的物业管理宣传日，发动各县（市、区）在辖区设立宣传点，印发物业管理宣传单、新闻媒体报道等形式对物业管理政策进行宣传，起到了很好的效果。二是充分发挥优秀住宅小区引领宣传效应，带动全市物业服务水平的提升。随着创建活动的深入开展，创建范围已由市区拓展到周边各县，成为提升物业管理整体水平的龙头。并对创优成功的企业分别在参与招投标时给予加分等政策、措施，极大的调动了企业创先争优、树立品牌的意识。三是大力扶优培强，树立“奖勤罚懒、淘劣留良”的鲜明导向，鼓励本地优秀物业企业整合资源、扩张发展，大力引进一批资质高、服务优的外地物业龙头企业，全面提升服务水平和综合竞争力，带动了整体行业服务水平的提升。</w:t>
      </w:r>
    </w:p>
    <w:p>
      <w:pPr>
        <w:ind w:firstLine="640" w:firstLineChars="200"/>
        <w:rPr>
          <w:rFonts w:hint="eastAsia" w:ascii="黑体" w:hAnsi="黑体" w:eastAsia="黑体"/>
          <w:bCs/>
          <w:sz w:val="32"/>
          <w:szCs w:val="32"/>
        </w:rPr>
      </w:pPr>
      <w:r>
        <w:rPr>
          <w:rFonts w:hint="eastAsia" w:ascii="黑体" w:hAnsi="黑体" w:eastAsia="黑体"/>
          <w:bCs/>
          <w:sz w:val="32"/>
          <w:szCs w:val="32"/>
        </w:rPr>
        <w:t>四、加强各县（市、区）物业管理主管部门对业主委员会组建指导力度</w:t>
      </w:r>
    </w:p>
    <w:p>
      <w:pPr>
        <w:pStyle w:val="2"/>
        <w:rPr>
          <w:rFonts w:hint="eastAsia" w:ascii="仿宋_GB2312" w:hAnsi="仿宋_GB2312" w:eastAsia="仿宋_GB2312" w:cs="仿宋_GB2312"/>
        </w:rPr>
      </w:pPr>
      <w:r>
        <w:rPr>
          <w:rFonts w:hint="eastAsia" w:ascii="仿宋_GB2312" w:hAnsi="仿宋_GB2312" w:eastAsia="仿宋_GB2312" w:cs="仿宋_GB2312"/>
        </w:rPr>
        <w:t>2015年市政府颁布实施的《邯郸市物业管理办法》（市政府令</w:t>
      </w:r>
      <w:r>
        <w:rPr>
          <w:rFonts w:hint="eastAsia" w:ascii="仿宋_GB2312" w:hAnsi="仿宋_GB2312" w:eastAsia="仿宋_GB2312" w:cs="仿宋_GB2312"/>
          <w:lang w:val="en-US" w:eastAsia="zh-CN"/>
        </w:rPr>
        <w:t>第</w:t>
      </w:r>
      <w:bookmarkStart w:id="0" w:name="_GoBack"/>
      <w:bookmarkEnd w:id="0"/>
      <w:r>
        <w:rPr>
          <w:rFonts w:hint="eastAsia" w:ascii="仿宋_GB2312" w:hAnsi="仿宋_GB2312" w:eastAsia="仿宋_GB2312" w:cs="仿宋_GB2312"/>
        </w:rPr>
        <w:t>148号），对业主大会的召开和业主委员会的组建做了详细的规定。并将此项工作按辖区划分，由街道办事处和社区居委会具体牵头指导做好业主委员会的组建工作。今年市、区县两级物业管理主管部门将加强对街道（乡镇）的业务指导，提高业主物业管理知识水平，加快业主委员会组建步伐，不断完善、充实物业管理竞争市场的选聘主体。并针对已成立的一些业主委员会委员素质低，业务水平不高的情况，还要组织业主委员会委员进行培训学习，增强自身的业务素质，规范管理。业主委员会成立后，可以由业主决定本小区的管理模式，是自治管理还是通过招标择优选聘物业管理企业管理。</w:t>
      </w:r>
    </w:p>
    <w:p>
      <w:pPr>
        <w:ind w:firstLine="645"/>
        <w:rPr>
          <w:rFonts w:hint="eastAsia" w:ascii="黑体" w:hAnsi="黑体" w:eastAsia="黑体"/>
          <w:bCs/>
          <w:sz w:val="32"/>
          <w:szCs w:val="32"/>
        </w:rPr>
      </w:pPr>
      <w:r>
        <w:rPr>
          <w:rFonts w:hint="eastAsia" w:ascii="黑体" w:hAnsi="黑体" w:eastAsia="黑体"/>
          <w:sz w:val="32"/>
          <w:szCs w:val="32"/>
        </w:rPr>
        <w:t>五、</w:t>
      </w:r>
      <w:r>
        <w:rPr>
          <w:rFonts w:hint="eastAsia" w:ascii="黑体" w:hAnsi="黑体" w:eastAsia="黑体"/>
          <w:bCs/>
          <w:sz w:val="32"/>
          <w:szCs w:val="32"/>
        </w:rPr>
        <w:t>开展物业服务收费检查，</w:t>
      </w:r>
      <w:r>
        <w:rPr>
          <w:rFonts w:hint="eastAsia" w:ascii="黑体" w:hAnsi="黑体" w:eastAsia="黑体"/>
          <w:sz w:val="32"/>
          <w:szCs w:val="32"/>
        </w:rPr>
        <w:t>修订《邯郸市物业服务收费管理办法》</w:t>
      </w:r>
    </w:p>
    <w:p>
      <w:pPr>
        <w:numPr>
          <w:ilvl w:val="0"/>
          <w:numId w:val="0"/>
        </w:numPr>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今年我局与市物价局联合下发了《并于开展物业服务</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收费检查的通知》。从4月开始到8月底，对群众举报的乱立名目收费及擅自提高物业费标准进行全市大检查，对未进行公开收费标准、服务标准的企业进行约谈整改，对违反《物业管理条例》和《价格法》、《河北省物业服务收费管理办法》的行为进行严厉打击，目前工作正在有序开展中。</w:t>
      </w:r>
    </w:p>
    <w:p>
      <w:pPr>
        <w:numPr>
          <w:ilvl w:val="0"/>
          <w:numId w:val="0"/>
        </w:numPr>
        <w:ind w:left="645" w:leftChars="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目前，我市住宅小区物业服务标准和收费标准执行的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是《邯郸市城市精细化管理办法（试行）》（邯政【2014】73号） ：“住宅小区服务标准和收费标准”（一级0.4元/月.平米、二级0.6元/月.平米、三级0.9元/月.平米、四级1.2元/月.平米、五级1.6元/月.平米）。今年我局将会同市物价部门对2004年出台的《邯郸市物业服务收费管理实施办法》重新进行修改，按照政府有关规定重新制定符合目前我市物业管理市场的政府指导价格。并根据《河北省物价局关于放开部分服务价格的通知》（冀价经费【2015】33号）规定，业主大会成立前的住宅小区物业服务收费实行政府指导价格；业主大会成立后按照市场调节价由业主与物业服务企业协商确定。</w:t>
      </w:r>
    </w:p>
    <w:p>
      <w:pPr>
        <w:ind w:firstLine="640" w:firstLineChars="200"/>
        <w:rPr>
          <w:rFonts w:hint="eastAsia" w:ascii="黑体" w:hAnsi="黑体" w:eastAsia="黑体"/>
          <w:bCs/>
          <w:sz w:val="32"/>
        </w:rPr>
      </w:pPr>
      <w:r>
        <w:rPr>
          <w:rFonts w:hint="eastAsia" w:ascii="黑体" w:hAnsi="黑体" w:eastAsia="黑体"/>
          <w:bCs/>
          <w:sz w:val="32"/>
        </w:rPr>
        <w:t>六、发挥品牌企业的引领作用，帮扶中小企业共同提升</w:t>
      </w:r>
    </w:p>
    <w:p>
      <w:pPr>
        <w:ind w:firstLine="640" w:firstLineChars="200"/>
        <w:rPr>
          <w:rFonts w:hint="eastAsia" w:ascii="仿宋_GB2312" w:hAnsi="仿宋_GB2312" w:eastAsia="仿宋_GB2312" w:cs="仿宋_GB2312"/>
          <w:bCs/>
          <w:sz w:val="32"/>
        </w:rPr>
      </w:pPr>
      <w:r>
        <w:rPr>
          <w:rFonts w:hint="eastAsia" w:ascii="仿宋_GB2312" w:hAnsi="仿宋_GB2312" w:eastAsia="仿宋_GB2312" w:cs="仿宋_GB2312"/>
          <w:bCs/>
          <w:sz w:val="32"/>
        </w:rPr>
        <w:t>充分发挥物业管理协会的桥梁纽带作用，引导荣盛、美的、恒大、安居等品牌物业服务公司继续加大帮扶力度，指导中小物业企业规范服务标准和品质管控，提升这些企业的服务质量和业务水平。</w:t>
      </w:r>
    </w:p>
    <w:p>
      <w:pPr>
        <w:ind w:firstLine="640" w:firstLineChars="200"/>
        <w:rPr>
          <w:rFonts w:hint="eastAsia" w:ascii="仿宋" w:hAnsi="仿宋" w:eastAsia="仿宋"/>
          <w:bCs/>
          <w:sz w:val="32"/>
        </w:rPr>
      </w:pPr>
      <w:r>
        <w:rPr>
          <w:rFonts w:hint="eastAsia" w:ascii="黑体" w:hAnsi="黑体" w:eastAsia="黑体"/>
          <w:sz w:val="32"/>
          <w:szCs w:val="32"/>
        </w:rPr>
        <w:t>七、加强物业纠纷人民调解委员会作用</w:t>
      </w:r>
    </w:p>
    <w:p>
      <w:pPr>
        <w:ind w:firstLine="640" w:firstLineChars="200"/>
        <w:rPr>
          <w:rFonts w:hint="eastAsia" w:ascii="仿宋" w:hAnsi="仿宋" w:eastAsia="仿宋"/>
          <w:sz w:val="32"/>
          <w:szCs w:val="32"/>
        </w:rPr>
      </w:pPr>
      <w:r>
        <w:rPr>
          <w:rFonts w:hint="eastAsia" w:ascii="仿宋_GB2312" w:hAnsi="仿宋_GB2312" w:eastAsia="仿宋_GB2312" w:cs="仿宋_GB2312"/>
          <w:sz w:val="32"/>
          <w:szCs w:val="32"/>
        </w:rPr>
        <w:t>2016年5月，我局按照市综治办要求，成立了主城区物业管理纠纷调解委员会，在丛台区、邯山区、复兴区、邯郸县住建局、经济技术开发区城建局各区住建（房管）局分别建立了5个调解室，运转以来，共调处物业纠纷860多件，受到了广大居民的认可。今年将继续发挥调解委员会作用，规范运作，将物业管理纠纷化解到基层。</w:t>
      </w:r>
    </w:p>
    <w:p>
      <w:pPr>
        <w:spacing w:line="460" w:lineRule="exact"/>
        <w:ind w:firstLine="627" w:firstLineChars="196"/>
        <w:rPr>
          <w:rFonts w:hint="eastAsia" w:ascii="仿宋_GB2312" w:eastAsia="仿宋_GB2312"/>
          <w:color w:val="000000"/>
          <w:sz w:val="32"/>
          <w:szCs w:val="32"/>
        </w:rPr>
      </w:pPr>
    </w:p>
    <w:p>
      <w:pPr>
        <w:spacing w:line="460" w:lineRule="exact"/>
        <w:ind w:firstLine="627" w:firstLineChars="196"/>
        <w:rPr>
          <w:rFonts w:hint="eastAsia" w:ascii="仿宋_GB2312" w:eastAsia="仿宋_GB2312"/>
          <w:color w:val="000000"/>
          <w:sz w:val="32"/>
          <w:szCs w:val="32"/>
        </w:rPr>
      </w:pPr>
      <w:r>
        <w:rPr>
          <w:rFonts w:hint="eastAsia" w:ascii="仿宋_GB2312" w:hAnsi="宋体" w:eastAsia="仿宋_GB2312" w:cs="宋体"/>
          <w:color w:val="000000"/>
          <w:sz w:val="32"/>
          <w:szCs w:val="32"/>
        </w:rPr>
        <w:t>您对以上办理情况有何意见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请填写</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代表建议办理情况征询意见表</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附后</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并及时反馈</w:t>
      </w:r>
      <w:r>
        <w:rPr>
          <w:rFonts w:hint="eastAsia" w:ascii="仿宋_GB2312" w:hAnsi="Malgun Gothic Semilight" w:eastAsia="仿宋_GB2312" w:cs="Malgun Gothic Semilight"/>
          <w:color w:val="000000"/>
          <w:sz w:val="32"/>
          <w:szCs w:val="32"/>
        </w:rPr>
        <w:t>。</w:t>
      </w:r>
    </w:p>
    <w:p>
      <w:pPr>
        <w:spacing w:line="460" w:lineRule="exact"/>
        <w:rPr>
          <w:rFonts w:hint="eastAsia" w:ascii="仿宋_GB2312" w:eastAsia="仿宋_GB2312"/>
          <w:color w:val="000000"/>
          <w:sz w:val="32"/>
          <w:szCs w:val="32"/>
        </w:rPr>
      </w:pPr>
    </w:p>
    <w:p>
      <w:pPr>
        <w:spacing w:line="460" w:lineRule="exact"/>
        <w:ind w:firstLine="6400" w:firstLineChars="2000"/>
        <w:rPr>
          <w:rFonts w:hint="eastAsia" w:ascii="仿宋_GB2312" w:eastAsia="仿宋_GB2312"/>
          <w:color w:val="000000"/>
          <w:sz w:val="32"/>
          <w:szCs w:val="32"/>
        </w:rPr>
      </w:pPr>
    </w:p>
    <w:p>
      <w:pPr>
        <w:spacing w:line="460" w:lineRule="exact"/>
        <w:jc w:val="right"/>
        <w:rPr>
          <w:rFonts w:hint="eastAsia" w:ascii="仿宋_GB2312" w:eastAsia="仿宋_GB2312"/>
          <w:color w:val="000000"/>
          <w:sz w:val="32"/>
          <w:szCs w:val="32"/>
        </w:rPr>
      </w:pPr>
      <w:r>
        <w:rPr>
          <w:rFonts w:hint="eastAsia" w:ascii="仿宋_GB2312" w:hAnsi="宋体" w:eastAsia="仿宋_GB2312" w:cs="宋体"/>
          <w:color w:val="000000"/>
          <w:sz w:val="32"/>
          <w:szCs w:val="32"/>
          <w:lang w:val="en-US" w:eastAsia="zh-CN"/>
        </w:rPr>
        <w:t>2018</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val="en-US" w:eastAsia="zh-CN"/>
        </w:rPr>
        <w:t>7</w:t>
      </w:r>
      <w:r>
        <w:rPr>
          <w:rFonts w:hint="eastAsia" w:ascii="仿宋_GB2312" w:hAnsi="宋体" w:eastAsia="仿宋_GB2312" w:cs="宋体"/>
          <w:color w:val="000000"/>
          <w:sz w:val="32"/>
          <w:szCs w:val="32"/>
        </w:rPr>
        <w:t>月</w:t>
      </w:r>
      <w:r>
        <w:rPr>
          <w:rFonts w:hint="eastAsia" w:ascii="仿宋_GB2312" w:hAnsi="宋体" w:eastAsia="仿宋_GB2312" w:cs="宋体"/>
          <w:color w:val="000000"/>
          <w:sz w:val="32"/>
          <w:szCs w:val="32"/>
          <w:lang w:val="en-US" w:eastAsia="zh-CN"/>
        </w:rPr>
        <w:t>13</w:t>
      </w:r>
      <w:r>
        <w:rPr>
          <w:rFonts w:hint="eastAsia" w:ascii="仿宋_GB2312" w:hAnsi="宋体" w:eastAsia="仿宋_GB2312" w:cs="宋体"/>
          <w:color w:val="000000"/>
          <w:sz w:val="32"/>
          <w:szCs w:val="32"/>
        </w:rPr>
        <w:t>日</w:t>
      </w:r>
    </w:p>
    <w:p>
      <w:pPr>
        <w:spacing w:line="460" w:lineRule="exact"/>
        <w:rPr>
          <w:rFonts w:hint="eastAsia" w:ascii="仿宋_GB2312" w:eastAsia="仿宋_GB2312"/>
          <w:color w:val="000000"/>
          <w:sz w:val="32"/>
          <w:szCs w:val="32"/>
        </w:rPr>
      </w:pPr>
    </w:p>
    <w:p>
      <w:pPr>
        <w:spacing w:line="460" w:lineRule="exact"/>
        <w:rPr>
          <w:rFonts w:hint="eastAsia" w:ascii="仿宋_GB2312" w:eastAsia="仿宋_GB2312"/>
          <w:color w:val="000000"/>
          <w:sz w:val="32"/>
          <w:szCs w:val="32"/>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王兆社</w:t>
      </w:r>
    </w:p>
    <w:p>
      <w:pPr>
        <w:spacing w:line="460" w:lineRule="exact"/>
        <w:rPr>
          <w:rFonts w:hint="eastAsia" w:ascii="仿宋_GB2312" w:eastAsia="仿宋_GB2312"/>
          <w:color w:val="000000"/>
          <w:sz w:val="32"/>
          <w:szCs w:val="32"/>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宋爱国</w:t>
      </w:r>
      <w:r>
        <w:rPr>
          <w:rFonts w:hint="eastAsia" w:ascii="仿宋_GB2312" w:hAnsi="Malgun Gothic Semilight" w:eastAsia="仿宋_GB2312" w:cs="Malgun Gothic Semilight"/>
          <w:color w:val="000000"/>
          <w:sz w:val="32"/>
          <w:szCs w:val="32"/>
          <w:lang w:val="en-US" w:eastAsia="zh-CN"/>
        </w:rPr>
        <w:t xml:space="preserve"> 3271211</w:t>
      </w:r>
    </w:p>
    <w:p>
      <w:pPr>
        <w:spacing w:line="460" w:lineRule="exact"/>
        <w:ind w:left="1037" w:hanging="940" w:hangingChars="294"/>
        <w:rPr>
          <w:rFonts w:hint="eastAsia" w:ascii="仿宋_GB2312" w:eastAsia="仿宋_GB2312"/>
          <w:color w:val="000000"/>
          <w:sz w:val="32"/>
          <w:szCs w:val="32"/>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市人大常委会选举任免代表工作委员会</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swiss"/>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NDM0OWQ2NDM5ODViYTBjZWYzYTgwMmQ3MzcyOTEifQ=="/>
  </w:docVars>
  <w:rsids>
    <w:rsidRoot w:val="4BB125BF"/>
    <w:rsid w:val="149D54CD"/>
    <w:rsid w:val="19F80970"/>
    <w:rsid w:val="1A123DCC"/>
    <w:rsid w:val="4BB12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2018-07-16T03:22:00Z</dcterms:created>
  <dc:creator>Administrator</dc:creator>
  <cp:lastModifiedBy>lenovo</cp:lastModifiedBy>
  <cp:lastPrinted>2018-07-31T08:06:00Z</cp:lastPrinted>
  <dcterms:modified xsi:type="dcterms:W3CDTF">2024-01-17T02:31:08Z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C8BF4A1C95864691BD1A3E081DF660F8_12</vt:lpwstr>
  </property>
</Properties>
</file>