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第47号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757</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rPr>
          <w:rFonts w:hint="eastAsia" w:ascii="仿宋_GB2312" w:eastAsia="仿宋_GB2312"/>
          <w:sz w:val="32"/>
          <w:szCs w:val="32"/>
        </w:rPr>
      </w:pPr>
      <w:r>
        <w:rPr>
          <w:rFonts w:hint="eastAsia" w:ascii="仿宋_GB2312" w:eastAsia="仿宋_GB2312"/>
          <w:sz w:val="32"/>
          <w:szCs w:val="32"/>
        </w:rPr>
        <w:t>薛素涛委员：</w:t>
      </w:r>
    </w:p>
    <w:p>
      <w:pPr>
        <w:ind w:firstLine="640" w:firstLineChars="200"/>
        <w:rPr>
          <w:rFonts w:hint="eastAsia" w:ascii="仿宋_GB2312" w:eastAsia="仿宋_GB2312"/>
          <w:sz w:val="32"/>
          <w:szCs w:val="32"/>
        </w:rPr>
      </w:pPr>
      <w:r>
        <w:rPr>
          <w:rFonts w:hint="eastAsia" w:ascii="仿宋_GB2312" w:eastAsia="仿宋_GB2312"/>
          <w:sz w:val="32"/>
          <w:szCs w:val="32"/>
        </w:rPr>
        <w:t>您提出的关于规范电动自行车充电管理的建议</w:t>
      </w:r>
      <w:r>
        <w:rPr>
          <w:rFonts w:hint="eastAsia" w:ascii="仿宋_GB2312" w:eastAsia="仿宋_GB2312"/>
          <w:sz w:val="32"/>
          <w:szCs w:val="32"/>
          <w:lang w:eastAsia="zh-CN"/>
        </w:rPr>
        <w:t>的提案</w:t>
      </w:r>
      <w:r>
        <w:rPr>
          <w:rFonts w:hint="eastAsia" w:ascii="仿宋_GB2312" w:eastAsia="仿宋_GB2312"/>
          <w:sz w:val="32"/>
          <w:szCs w:val="32"/>
        </w:rPr>
        <w:t>收悉，现答复如下：</w:t>
      </w:r>
    </w:p>
    <w:p>
      <w:pPr>
        <w:ind w:firstLine="640" w:firstLineChars="200"/>
        <w:rPr>
          <w:rFonts w:hint="eastAsia" w:ascii="仿宋_GB2312" w:eastAsia="仿宋_GB2312"/>
          <w:sz w:val="32"/>
          <w:szCs w:val="32"/>
        </w:rPr>
      </w:pPr>
      <w:r>
        <w:rPr>
          <w:rFonts w:hint="eastAsia" w:ascii="仿宋_GB2312" w:eastAsia="仿宋_GB2312"/>
          <w:sz w:val="32"/>
          <w:szCs w:val="32"/>
        </w:rPr>
        <w:t>近年，因电动自行车充电引发火灾频发且呈逐年增</w:t>
      </w:r>
      <w:bookmarkStart w:id="0" w:name="_GoBack"/>
      <w:bookmarkEnd w:id="0"/>
      <w:r>
        <w:rPr>
          <w:rFonts w:hint="eastAsia" w:ascii="仿宋_GB2312" w:eastAsia="仿宋_GB2312"/>
          <w:sz w:val="32"/>
          <w:szCs w:val="32"/>
        </w:rPr>
        <w:t>长趋势，造成大量人员伤亡，为有效遏制电动自行车火灾多发势头，公安部、省公安厅于2017年相继下发了关于加强和规范电动车停放及充电、加强火灾防范的通告。2018年5月15日，国务院安委会办公室又下发了《关于开展电动自行车消防安全综合治理工作的通知》（安委办</w:t>
      </w:r>
      <w:r>
        <w:rPr>
          <w:rFonts w:hint="eastAsia" w:ascii="仿宋_GB2312"/>
          <w:sz w:val="32"/>
          <w:szCs w:val="32"/>
        </w:rPr>
        <w:t>﹝</w:t>
      </w:r>
      <w:r>
        <w:rPr>
          <w:rFonts w:hint="eastAsia" w:ascii="仿宋_GB2312" w:eastAsia="仿宋_GB2312"/>
          <w:sz w:val="32"/>
          <w:szCs w:val="32"/>
        </w:rPr>
        <w:t>2018</w:t>
      </w:r>
      <w:r>
        <w:rPr>
          <w:rFonts w:hint="eastAsia" w:ascii="仿宋_GB2312"/>
          <w:sz w:val="32"/>
          <w:szCs w:val="32"/>
        </w:rPr>
        <w:t>﹞</w:t>
      </w:r>
      <w:r>
        <w:rPr>
          <w:rFonts w:hint="eastAsia" w:ascii="仿宋_GB2312" w:eastAsia="仿宋_GB2312"/>
          <w:sz w:val="32"/>
          <w:szCs w:val="32"/>
        </w:rPr>
        <w:t>13号），对加强电动车管理进行了安排和布署。</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2018年6月8日，邯郸市安全生产委员会办公室下发了《邯郸市电动自行车消防安全综合治理工作方案》（邯安委办〔2018〕62号），专门加强了对电动自行车消防安全综合治理工作的领导。市安委会办公室成立电动自行车消防安全综合治理协调小组，协调小组下设办公室在市消防支队，具体负责全市电动自行车消防安全综合治理工作的组织实施。</w:t>
      </w:r>
      <w:r>
        <w:rPr>
          <w:rFonts w:hint="eastAsia" w:ascii="仿宋_GB2312" w:eastAsia="仿宋_GB2312"/>
          <w:sz w:val="32"/>
          <w:szCs w:val="32"/>
          <w:lang w:val="en-US" w:eastAsia="zh-CN"/>
        </w:rPr>
        <w:t xml:space="preserve"> </w:t>
      </w:r>
    </w:p>
    <w:p>
      <w:pPr>
        <w:rPr>
          <w:rFonts w:hint="eastAsia" w:ascii="仿宋_GB2312" w:eastAsia="仿宋_GB2312"/>
          <w:sz w:val="32"/>
          <w:szCs w:val="32"/>
        </w:rPr>
      </w:pPr>
      <w:r>
        <w:rPr>
          <w:rFonts w:hint="eastAsia" w:ascii="仿宋_GB2312" w:eastAsia="仿宋_GB2312"/>
          <w:sz w:val="32"/>
          <w:szCs w:val="32"/>
        </w:rPr>
        <w:t>市公安、质监、房管、工信、工商等部门主要从以下几个重点方面加强对电动自行车的消防安全治理：</w:t>
      </w:r>
    </w:p>
    <w:p>
      <w:pPr>
        <w:numPr>
          <w:ilvl w:val="0"/>
          <w:numId w:val="0"/>
        </w:numPr>
        <w:ind w:firstLine="640" w:firstLineChars="200"/>
        <w:rPr>
          <w:rFonts w:hint="eastAsia" w:ascii="仿宋_GB2312" w:eastAsia="仿宋_GB2312"/>
          <w:sz w:val="32"/>
          <w:szCs w:val="32"/>
        </w:rPr>
      </w:pPr>
      <w:r>
        <w:rPr>
          <w:rFonts w:hint="eastAsia" w:ascii="仿宋_GB2312" w:eastAsia="仿宋_GB2312"/>
          <w:b w:val="0"/>
          <w:bCs w:val="0"/>
          <w:sz w:val="32"/>
          <w:szCs w:val="32"/>
          <w:lang w:eastAsia="zh-CN"/>
        </w:rPr>
        <w:t>（一）</w:t>
      </w:r>
      <w:r>
        <w:rPr>
          <w:rFonts w:hint="eastAsia" w:ascii="仿宋_GB2312" w:eastAsia="仿宋_GB2312"/>
          <w:b w:val="0"/>
          <w:bCs w:val="0"/>
          <w:sz w:val="32"/>
          <w:szCs w:val="32"/>
        </w:rPr>
        <w:t>电动自行车产品质量。</w:t>
      </w:r>
      <w:r>
        <w:rPr>
          <w:rFonts w:hint="eastAsia" w:ascii="仿宋_GB2312" w:eastAsia="仿宋_GB2312"/>
          <w:sz w:val="32"/>
          <w:szCs w:val="32"/>
        </w:rPr>
        <w:t>不按标准或者降低标准生产电动自行车及蓄电池、充电器等配件。生产假冒伪劣电动自行车及蓄电池、充电器等配件。</w:t>
      </w:r>
    </w:p>
    <w:p>
      <w:pPr>
        <w:numPr>
          <w:ilvl w:val="0"/>
          <w:numId w:val="0"/>
        </w:numPr>
        <w:ind w:firstLine="640" w:firstLineChars="200"/>
        <w:rPr>
          <w:rFonts w:hint="eastAsia" w:ascii="仿宋_GB2312" w:eastAsia="仿宋_GB2312"/>
          <w:sz w:val="32"/>
          <w:szCs w:val="32"/>
        </w:rPr>
      </w:pPr>
      <w:r>
        <w:rPr>
          <w:rFonts w:hint="eastAsia" w:ascii="仿宋_GB2312" w:eastAsia="仿宋_GB2312"/>
          <w:b w:val="0"/>
          <w:bCs w:val="0"/>
          <w:sz w:val="32"/>
          <w:szCs w:val="32"/>
          <w:lang w:eastAsia="zh-CN"/>
        </w:rPr>
        <w:t>（二）</w:t>
      </w:r>
      <w:r>
        <w:rPr>
          <w:rFonts w:hint="eastAsia" w:ascii="仿宋_GB2312" w:eastAsia="仿宋_GB2312"/>
          <w:b w:val="0"/>
          <w:bCs w:val="0"/>
          <w:sz w:val="32"/>
          <w:szCs w:val="32"/>
        </w:rPr>
        <w:t>电动自行车流通销售。</w:t>
      </w:r>
      <w:r>
        <w:rPr>
          <w:rFonts w:hint="eastAsia" w:ascii="仿宋_GB2312" w:eastAsia="仿宋_GB2312"/>
          <w:sz w:val="32"/>
          <w:szCs w:val="32"/>
        </w:rPr>
        <w:t>销售无合格证、伪造、冒用认证证书电动自行车及蓄电池、充电器等配件。销售无厂名、厂址等不合格电动自行车及蓄电池、充电器等配件。</w:t>
      </w:r>
    </w:p>
    <w:p>
      <w:pPr>
        <w:numPr>
          <w:ilvl w:val="0"/>
          <w:numId w:val="0"/>
        </w:numPr>
        <w:ind w:firstLine="640" w:firstLineChars="200"/>
        <w:rPr>
          <w:rFonts w:hint="eastAsia" w:ascii="仿宋_GB2312" w:eastAsia="仿宋_GB2312"/>
          <w:sz w:val="32"/>
          <w:szCs w:val="32"/>
        </w:rPr>
      </w:pPr>
      <w:r>
        <w:rPr>
          <w:rFonts w:hint="eastAsia" w:ascii="仿宋_GB2312" w:eastAsia="仿宋_GB2312"/>
          <w:b w:val="0"/>
          <w:bCs w:val="0"/>
          <w:sz w:val="32"/>
          <w:szCs w:val="32"/>
          <w:lang w:eastAsia="zh-CN"/>
        </w:rPr>
        <w:t>（三）</w:t>
      </w:r>
      <w:r>
        <w:rPr>
          <w:rFonts w:hint="eastAsia" w:ascii="仿宋_GB2312" w:eastAsia="仿宋_GB2312"/>
          <w:b w:val="0"/>
          <w:bCs w:val="0"/>
          <w:sz w:val="32"/>
          <w:szCs w:val="32"/>
        </w:rPr>
        <w:t>电动自行车维修改装。</w:t>
      </w:r>
      <w:r>
        <w:rPr>
          <w:rFonts w:hint="eastAsia" w:ascii="仿宋_GB2312" w:eastAsia="仿宋_GB2312"/>
          <w:sz w:val="32"/>
          <w:szCs w:val="32"/>
        </w:rPr>
        <w:t>私自改装和拆卸原厂配件，私自拆除限速器等关键性组件。私自更换大功率蓄电池。</w:t>
      </w:r>
    </w:p>
    <w:p>
      <w:pPr>
        <w:numPr>
          <w:ilvl w:val="0"/>
          <w:numId w:val="0"/>
        </w:numPr>
        <w:ind w:firstLine="640" w:firstLineChars="200"/>
        <w:rPr>
          <w:rFonts w:hint="eastAsia" w:ascii="仿宋_GB2312" w:eastAsia="仿宋_GB2312"/>
          <w:sz w:val="32"/>
          <w:szCs w:val="32"/>
        </w:rPr>
      </w:pPr>
      <w:r>
        <w:rPr>
          <w:rFonts w:hint="eastAsia" w:ascii="仿宋_GB2312" w:eastAsia="仿宋_GB2312"/>
          <w:b w:val="0"/>
          <w:bCs w:val="0"/>
          <w:sz w:val="32"/>
          <w:szCs w:val="32"/>
        </w:rPr>
        <w:t>（四）电动自行车使用管理。</w:t>
      </w:r>
      <w:r>
        <w:rPr>
          <w:rFonts w:hint="eastAsia" w:ascii="仿宋_GB2312" w:eastAsia="仿宋_GB2312"/>
          <w:sz w:val="32"/>
          <w:szCs w:val="32"/>
        </w:rPr>
        <w:t>电动自行车停放在建筑首层门厅、楼梯间、共用走道以及地下室半地下室等室内公共区域，占用、堵塞疏散通道、安全出口。电动自行车蓄电池、充电器老化或破损，充电线路乱拉乱接，充电设施安装不规范。未落实电动自行车停放、充电安全保障措施。</w:t>
      </w:r>
    </w:p>
    <w:p>
      <w:pPr>
        <w:ind w:firstLine="640" w:firstLineChars="200"/>
        <w:rPr>
          <w:rFonts w:hint="eastAsia" w:ascii="仿宋_GB2312" w:eastAsia="仿宋_GB2312"/>
          <w:sz w:val="32"/>
          <w:szCs w:val="32"/>
        </w:rPr>
      </w:pPr>
      <w:r>
        <w:rPr>
          <w:rFonts w:hint="eastAsia" w:ascii="仿宋_GB2312" w:eastAsia="仿宋_GB2312"/>
          <w:sz w:val="32"/>
          <w:szCs w:val="32"/>
        </w:rPr>
        <w:t>通过2018年6月开始至2018年底的电动自行车集中治理行动，我市住宅小区电动车停放和充电安全取得了阶段性成果。但这项工作的开展受业主主观意识不强、约束力差等原因，有反弹现象。为了将此项关系消防安全的工作</w:t>
      </w:r>
      <w:r>
        <w:rPr>
          <w:rFonts w:hint="eastAsia" w:ascii="仿宋_GB2312" w:eastAsia="仿宋_GB2312"/>
          <w:sz w:val="32"/>
          <w:szCs w:val="32"/>
          <w:lang w:val="en-US" w:eastAsia="zh-CN"/>
        </w:rPr>
        <w:t>常</w:t>
      </w:r>
      <w:r>
        <w:rPr>
          <w:rFonts w:hint="eastAsia" w:ascii="仿宋_GB2312" w:eastAsia="仿宋_GB2312"/>
          <w:sz w:val="32"/>
          <w:szCs w:val="32"/>
        </w:rPr>
        <w:t>抓不懈，2019年3月，我局印发了《关于进一步加强物业管理区域安全管理工作的通知》，其中对消防隐患、安全用电等方面进行了部署，特别是电动车停放和充电管理，要求物业服务企业做好五个方面工作：</w:t>
      </w:r>
    </w:p>
    <w:p>
      <w:pPr>
        <w:ind w:firstLine="640" w:firstLineChars="200"/>
        <w:rPr>
          <w:rFonts w:hint="eastAsia" w:ascii="仿宋_GB2312" w:eastAsia="仿宋_GB2312"/>
          <w:sz w:val="32"/>
          <w:szCs w:val="32"/>
        </w:rPr>
      </w:pPr>
      <w:r>
        <w:rPr>
          <w:rFonts w:hint="eastAsia" w:ascii="仿宋_GB2312" w:eastAsia="仿宋_GB2312"/>
          <w:sz w:val="32"/>
          <w:szCs w:val="32"/>
        </w:rPr>
        <w:t>一是加大安全用电的宣传。张贴、发放电动车火灾隐患警示宣传单，告知业主安全充电知识。</w:t>
      </w:r>
    </w:p>
    <w:p>
      <w:pPr>
        <w:ind w:firstLine="640" w:firstLineChars="200"/>
        <w:rPr>
          <w:rFonts w:hint="eastAsia" w:ascii="仿宋_GB2312" w:eastAsia="仿宋_GB2312"/>
          <w:sz w:val="32"/>
          <w:szCs w:val="32"/>
        </w:rPr>
      </w:pPr>
      <w:r>
        <w:rPr>
          <w:rFonts w:hint="eastAsia" w:ascii="仿宋_GB2312" w:eastAsia="仿宋_GB2312"/>
          <w:sz w:val="32"/>
          <w:szCs w:val="32"/>
        </w:rPr>
        <w:t>二是在管理上要确保小区物业工作人员具有专业的管理和服务素养。</w:t>
      </w:r>
    </w:p>
    <w:p>
      <w:pPr>
        <w:ind w:firstLine="640" w:firstLineChars="200"/>
        <w:rPr>
          <w:rFonts w:hint="eastAsia" w:ascii="仿宋_GB2312" w:eastAsia="仿宋_GB2312"/>
          <w:sz w:val="32"/>
          <w:szCs w:val="32"/>
        </w:rPr>
      </w:pPr>
      <w:r>
        <w:rPr>
          <w:rFonts w:hint="eastAsia" w:ascii="仿宋_GB2312" w:eastAsia="仿宋_GB2312"/>
          <w:sz w:val="32"/>
          <w:szCs w:val="32"/>
        </w:rPr>
        <w:t>三是对停放在建筑首层门厅、楼梯间、共用走道以及地下室半地下室等室内公共区域，占用、堵塞疏散通道、安全出口电动自行车和充电线路乱拉乱接行为进行清理、制止，对拒不配合的及时向消防部门报告。</w:t>
      </w:r>
    </w:p>
    <w:p>
      <w:pPr>
        <w:ind w:firstLine="640" w:firstLineChars="200"/>
        <w:rPr>
          <w:rFonts w:hint="eastAsia" w:ascii="仿宋_GB2312" w:eastAsia="仿宋_GB2312"/>
          <w:sz w:val="32"/>
          <w:szCs w:val="32"/>
        </w:rPr>
      </w:pPr>
      <w:r>
        <w:rPr>
          <w:rFonts w:hint="eastAsia" w:ascii="仿宋_GB2312" w:eastAsia="仿宋_GB2312"/>
          <w:sz w:val="32"/>
          <w:szCs w:val="32"/>
        </w:rPr>
        <w:t>四是为确保小区消防安全，组织员工进行消防实战演习，提高物业人员的安全意识和快速疏散紧急撤离的自救能力。</w:t>
      </w:r>
    </w:p>
    <w:p>
      <w:pPr>
        <w:ind w:firstLine="640" w:firstLineChars="200"/>
        <w:rPr>
          <w:rFonts w:hint="eastAsia" w:ascii="仿宋_GB2312" w:eastAsia="仿宋_GB2312"/>
          <w:sz w:val="32"/>
          <w:szCs w:val="32"/>
        </w:rPr>
      </w:pPr>
      <w:r>
        <w:rPr>
          <w:rFonts w:hint="eastAsia" w:ascii="仿宋_GB2312" w:eastAsia="仿宋_GB2312"/>
          <w:sz w:val="32"/>
          <w:szCs w:val="32"/>
        </w:rPr>
        <w:t>五是设置指定停车区域进行充电，保安人员要实行定点巡逻、监控室实行24小时值班制，对发现电动汽车违停、违规充电等现象及时处理，实现多点防范，切实做好物业管理区域内的安全用电、充电的管理工作。</w:t>
      </w:r>
    </w:p>
    <w:p>
      <w:pPr>
        <w:ind w:firstLine="640" w:firstLineChars="200"/>
        <w:rPr>
          <w:rFonts w:hint="eastAsia" w:ascii="仿宋_GB2312" w:eastAsia="仿宋_GB2312"/>
          <w:sz w:val="32"/>
          <w:szCs w:val="32"/>
        </w:rPr>
      </w:pPr>
      <w:r>
        <w:rPr>
          <w:rFonts w:hint="eastAsia" w:ascii="仿宋_GB2312" w:eastAsia="仿宋_GB2312"/>
          <w:sz w:val="32"/>
          <w:szCs w:val="32"/>
        </w:rPr>
        <w:t>六是对于新交付使用的住宅小区，要配合相关部门、单位和业主做好设置集中停放场所和具备定时充电、自动断电、故障报警等功能的智能充电控制设施。</w:t>
      </w:r>
    </w:p>
    <w:p>
      <w:pPr>
        <w:ind w:firstLine="640" w:firstLineChars="200"/>
        <w:rPr>
          <w:rFonts w:ascii="仿宋" w:hAnsi="仿宋" w:eastAsia="仿宋"/>
          <w:color w:val="000000"/>
          <w:spacing w:val="2"/>
          <w:kern w:val="13"/>
          <w:sz w:val="32"/>
          <w:szCs w:val="32"/>
        </w:rPr>
      </w:pPr>
      <w:r>
        <w:rPr>
          <w:rFonts w:hint="eastAsia" w:ascii="仿宋_GB2312" w:eastAsia="仿宋_GB2312"/>
          <w:sz w:val="32"/>
          <w:szCs w:val="32"/>
        </w:rPr>
        <w:t>七是利用老旧小区综合改善工程资金，强力推动老旧小区的电动自行车集中停放场所和充电设施建设。对受客观条件限制，难以建成集中充电设施的老旧住宅小区，要统一划定一个或多个相对独立的安全区域，设置符合安全条件的小型集中临时汽车充电点，满足居民为电动汽车充电的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TYxYTJhYzUxZTJjZjYxYTNiNjM5Y2RmNjUyZTAifQ=="/>
  </w:docVars>
  <w:rsids>
    <w:rsidRoot w:val="01DC1168"/>
    <w:rsid w:val="01DC1168"/>
    <w:rsid w:val="01EA6369"/>
    <w:rsid w:val="02660EA6"/>
    <w:rsid w:val="039A1C0F"/>
    <w:rsid w:val="061D3060"/>
    <w:rsid w:val="08DD577C"/>
    <w:rsid w:val="0981089D"/>
    <w:rsid w:val="09DF06B3"/>
    <w:rsid w:val="0AFF020A"/>
    <w:rsid w:val="0C270C5D"/>
    <w:rsid w:val="0C280BB5"/>
    <w:rsid w:val="0D435AF6"/>
    <w:rsid w:val="0F6B07E1"/>
    <w:rsid w:val="116F4036"/>
    <w:rsid w:val="11DB4DD8"/>
    <w:rsid w:val="13DB70B2"/>
    <w:rsid w:val="14864037"/>
    <w:rsid w:val="15124003"/>
    <w:rsid w:val="15A61FDD"/>
    <w:rsid w:val="1C63168E"/>
    <w:rsid w:val="1C6F32E8"/>
    <w:rsid w:val="1D200CD4"/>
    <w:rsid w:val="1D4F07AB"/>
    <w:rsid w:val="1E5F3092"/>
    <w:rsid w:val="20321DD0"/>
    <w:rsid w:val="207F7C58"/>
    <w:rsid w:val="21455926"/>
    <w:rsid w:val="241024FF"/>
    <w:rsid w:val="25773637"/>
    <w:rsid w:val="2AE33509"/>
    <w:rsid w:val="306B70DC"/>
    <w:rsid w:val="30912523"/>
    <w:rsid w:val="31993005"/>
    <w:rsid w:val="32FF4F58"/>
    <w:rsid w:val="36445AA0"/>
    <w:rsid w:val="374C011F"/>
    <w:rsid w:val="394D17E4"/>
    <w:rsid w:val="4419227F"/>
    <w:rsid w:val="4425620E"/>
    <w:rsid w:val="454758F4"/>
    <w:rsid w:val="45B808AF"/>
    <w:rsid w:val="476369F1"/>
    <w:rsid w:val="47984F0A"/>
    <w:rsid w:val="497D0976"/>
    <w:rsid w:val="4CC63490"/>
    <w:rsid w:val="4D205649"/>
    <w:rsid w:val="4D6047FC"/>
    <w:rsid w:val="4EF52CBF"/>
    <w:rsid w:val="53EF7F6D"/>
    <w:rsid w:val="54631A94"/>
    <w:rsid w:val="54783EE3"/>
    <w:rsid w:val="57B30A03"/>
    <w:rsid w:val="5E066B41"/>
    <w:rsid w:val="5F88367A"/>
    <w:rsid w:val="616C5BAB"/>
    <w:rsid w:val="6348312C"/>
    <w:rsid w:val="64495D8B"/>
    <w:rsid w:val="648C087B"/>
    <w:rsid w:val="65C332DE"/>
    <w:rsid w:val="65D22DC1"/>
    <w:rsid w:val="67782B68"/>
    <w:rsid w:val="68C73542"/>
    <w:rsid w:val="6C7D5DBC"/>
    <w:rsid w:val="6CD25CB5"/>
    <w:rsid w:val="73017AB3"/>
    <w:rsid w:val="75F40321"/>
    <w:rsid w:val="770D6E0B"/>
    <w:rsid w:val="7D236FE7"/>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qFormat/>
    <w:uiPriority w:val="0"/>
  </w:style>
  <w:style w:type="paragraph" w:customStyle="1" w:styleId="10">
    <w:name w:val="列出段落"/>
    <w:basedOn w:val="1"/>
    <w:qFormat/>
    <w:uiPriority w:val="0"/>
    <w:pPr>
      <w:ind w:firstLine="420" w:firstLineChars="200"/>
    </w:pPr>
    <w:rPr>
      <w:rFonts w:ascii="Calibri" w:hAnsi="Calibri"/>
    </w:rPr>
  </w:style>
  <w:style w:type="paragraph" w:customStyle="1" w:styleId="11">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1556</Words>
  <Characters>1600</Characters>
  <Lines>0</Lines>
  <Paragraphs>0</Paragraphs>
  <TotalTime>0</TotalTime>
  <ScaleCrop>false</ScaleCrop>
  <LinksUpToDate>false</LinksUpToDate>
  <CharactersWithSpaces>1603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WPS_1338247543</cp:lastModifiedBy>
  <cp:lastPrinted>2019-08-21T00:13:00Z</cp:lastPrinted>
  <dcterms:modified xsi:type="dcterms:W3CDTF">2023-05-29T01:08:31Z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66F82967883E4E8C99C7D57A0B079C5F_12</vt:lpwstr>
  </property>
</Properties>
</file>