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723" w:firstLineChars="200"/>
        <w:jc w:val="center"/>
        <w:rPr>
          <w:rFonts w:cs="宋体" w:asciiTheme="minorEastAsia" w:hAnsiTheme="minorEastAsia" w:eastAsiaTheme="minorEastAsia"/>
          <w:color w:val="000000"/>
          <w:kern w:val="0"/>
          <w:sz w:val="36"/>
          <w:szCs w:val="36"/>
        </w:rPr>
      </w:pPr>
      <w:r>
        <w:rPr>
          <w:rFonts w:hint="eastAsia" w:cs="宋体" w:asciiTheme="minorEastAsia" w:hAnsiTheme="minorEastAsia" w:eastAsiaTheme="minorEastAsia"/>
          <w:b/>
          <w:color w:val="000000"/>
          <w:kern w:val="0"/>
          <w:sz w:val="36"/>
          <w:szCs w:val="36"/>
        </w:rPr>
        <w:t>第一部分   部门概况</w:t>
      </w:r>
    </w:p>
    <w:p>
      <w:pPr>
        <w:pStyle w:val="8"/>
        <w:widowControl/>
        <w:numPr>
          <w:ilvl w:val="0"/>
          <w:numId w:val="1"/>
        </w:numPr>
        <w:spacing w:line="360" w:lineRule="auto"/>
        <w:ind w:firstLineChars="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部门职责和机构设置</w:t>
      </w:r>
    </w:p>
    <w:p>
      <w:pPr>
        <w:widowControl/>
        <w:ind w:firstLine="600" w:firstLineChars="200"/>
        <w:jc w:val="left"/>
        <w:rPr>
          <w:rFonts w:cs="宋体" w:asciiTheme="minorEastAsia" w:hAnsiTheme="minorEastAsia" w:eastAsiaTheme="minorEastAsia"/>
          <w:b/>
          <w:color w:val="000000"/>
          <w:kern w:val="0"/>
          <w:sz w:val="30"/>
          <w:szCs w:val="30"/>
        </w:rPr>
      </w:pPr>
      <w:r>
        <w:rPr>
          <w:rFonts w:hint="eastAsia" w:asciiTheme="minorEastAsia" w:hAnsiTheme="minorEastAsia" w:eastAsiaTheme="minorEastAsia"/>
          <w:sz w:val="30"/>
          <w:szCs w:val="30"/>
        </w:rPr>
        <w:t>根据邯郸市人民政府《关于市政府机构设置的通知》（[2010]2号），邯郸市住房保障和房产管理局为市政府直属事业机构，其主要职责如下：</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一）贯彻执行国家、省住房保障、住房制度改革及房地产管理的法律、法规、规章和方针、政策；研究起草本市住房保障、住房制度改革及房地产管理方面的地方性法规、规章、规范性文件和政策；研究制定全市住房保障发展规划，并组织实施。</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（二）负责全市住房保障工作。建立和完善住房保障体系，编制廉租住房和经济适用住房年度计划,负责住房保资金管理工作，并协同有关部门编制本市住宅建设中长期规划和年度计划。</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（三）建立完善房屋登记、房产测绘、房产档案管理制度，依法开展主城区国有土地上房屋所有权登记、抵押权登记、地役权登记、预告登记等，组织开展集体土地范围内房屋登记。</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四）负责全市房产交易市场管理。建立完善房地产转让、房地产抵押、房屋租赁管理制度；负责商品房预（销）售管理工作；负责房地产业交易行为、房地产交易资金监管工作;负责房地产估价、房地产经纪、房地产咨询相关的行业管理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（五）负责全市物业管理工作。负责物业服务企业资质审查发证工作；会同有关部门制定物业服务企业的收费标准；负责住宅专项维修资金的管理、使用。</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（六）负责全市住房制度改革工作。研究拟定全市住房制度改革的政策和方案，并组织实施；指导县（市）区住房制度改革工作。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（七）负责全市房屋安全管理和住宅室内装饰装修管理工作；负责直管公房的租赁、经营、修缮、服务、庭院管理工作。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八）负责主城区房产行政执法工作。加强住房保障和房产管理综合执法工作，依法对住房保障、房产交易、物业管理、住宅室内装饰装修、房屋安全管理等违法违规行为进行行政处罚；指导监督县（市）区房产行政执法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（九）负责住房保障和房产管理等方面的科技、教育工作。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（十）参与住房保障和房屋管理有关资金的管理；参与公有住房租金调整。</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（十一）负责有关房产确权方面行政裁决、行政复议的受理和行政诉讼的应诉工作。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（十二）负责房地产业协会、物业协会的监督指导工作。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（十三）承办市人大代表建议和政协委员提案工作。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（十四）完成市委、市政府交办的其他事项。</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新增加的职能：</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（十五）、负责全市的住房保障工作（冀政[2007]）95号）。</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（十六）、负责房地产交易资金监管工作（建住房[2006]321号）。</w:t>
      </w:r>
    </w:p>
    <w:p>
      <w:pPr>
        <w:spacing w:line="580" w:lineRule="atLeast"/>
        <w:ind w:firstLine="753" w:firstLineChars="250"/>
        <w:rPr>
          <w:rFonts w:asciiTheme="minorEastAsia" w:hAnsiTheme="minorEastAsia" w:eastAsiaTheme="minorEastAsia"/>
          <w:sz w:val="30"/>
          <w:szCs w:val="30"/>
        </w:rPr>
      </w:pPr>
      <w:r>
        <w:rPr>
          <w:rFonts w:hint="eastAsia" w:asciiTheme="minorEastAsia" w:hAnsiTheme="minorEastAsia" w:eastAsiaTheme="minorEastAsia"/>
          <w:b/>
          <w:sz w:val="30"/>
          <w:szCs w:val="30"/>
        </w:rPr>
        <w:t>我单位机构设置</w:t>
      </w:r>
      <w:r>
        <w:rPr>
          <w:rFonts w:hint="eastAsia" w:asciiTheme="minorEastAsia" w:hAnsiTheme="minorEastAsia" w:eastAsiaTheme="minorEastAsia"/>
          <w:sz w:val="30"/>
          <w:szCs w:val="30"/>
        </w:rPr>
        <w:t>为办公室、组织人事处、财务处、房产交易市场监管处、法规处、宣传信息处（机关党委）、离退休干部处、保障性住房管理处、物业处、工程与安全管理处。</w:t>
      </w:r>
    </w:p>
    <w:p>
      <w:pPr>
        <w:widowControl/>
        <w:ind w:left="602"/>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二、部门决算单位构成 ：</w:t>
      </w:r>
    </w:p>
    <w:p>
      <w:pPr>
        <w:pStyle w:val="8"/>
        <w:widowControl/>
        <w:ind w:left="1322" w:firstLine="1050" w:firstLineChars="350"/>
        <w:rPr>
          <w:rFonts w:asciiTheme="minorEastAsia" w:hAnsiTheme="minorEastAsia" w:eastAsiaTheme="minorEastAsia"/>
          <w:sz w:val="30"/>
          <w:szCs w:val="30"/>
        </w:rPr>
      </w:pPr>
      <w:r>
        <w:rPr>
          <w:rFonts w:hint="eastAsia" w:asciiTheme="minorEastAsia" w:hAnsiTheme="minorEastAsia" w:eastAsiaTheme="minorEastAsia"/>
          <w:sz w:val="30"/>
          <w:szCs w:val="30"/>
        </w:rPr>
        <w:t>部门决算单位构成</w:t>
      </w:r>
    </w:p>
    <w:tbl>
      <w:tblPr>
        <w:tblStyle w:val="6"/>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1842"/>
        <w:gridCol w:w="1558"/>
        <w:gridCol w:w="3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单位名称</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单位性质</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单位规格</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经费保障形式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邯郸市住房保障和房产和管理局</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行政事业</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县级</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财政性资金基本保证（全额事业）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邯郸市房地产市场管理处</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事业</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科级</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财政性资金零补助（自收自支）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邯郸市保障性住房管理中心</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事业</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副县级</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财政性资金零补助（自收自支）</w:t>
            </w:r>
          </w:p>
        </w:tc>
      </w:tr>
    </w:tbl>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spacing w:line="360" w:lineRule="auto"/>
        <w:ind w:firstLine="723" w:firstLineChars="200"/>
        <w:jc w:val="center"/>
        <w:rPr>
          <w:rFonts w:cs="宋体" w:asciiTheme="minorEastAsia" w:hAnsiTheme="minorEastAsia" w:eastAsiaTheme="minorEastAsia"/>
          <w:color w:val="000000"/>
          <w:kern w:val="0"/>
          <w:sz w:val="36"/>
          <w:szCs w:val="36"/>
        </w:rPr>
      </w:pPr>
      <w:r>
        <w:rPr>
          <w:rFonts w:hint="eastAsia" w:cs="宋体" w:asciiTheme="minorEastAsia" w:hAnsiTheme="minorEastAsia" w:eastAsiaTheme="minorEastAsia"/>
          <w:b/>
          <w:color w:val="000000"/>
          <w:kern w:val="0"/>
          <w:sz w:val="36"/>
          <w:szCs w:val="36"/>
        </w:rPr>
        <w:t>第二部分   2016年度部门决算报表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一、部门收入支出决算总表（见附表）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二、部门收入决算表（见附表）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三、部门支出决算表（见附表）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四、财政拨款收入支出决算总表（见附表）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五、一般公共预算财政拨款支出决算表（见附表）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六、一般公共预算财政拨款基本支出决算经济分类表（见附表）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七、政府性基金预算财政拨款收入支出决算表（见附表）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八、国有资本经营预算财政拨款收入支出决算表（见附表）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九、“三公”经费等相关信息统计表（见附表）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十、政府采购情况表（见附表）</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723" w:firstLineChars="200"/>
        <w:rPr>
          <w:rFonts w:cs="宋体" w:asciiTheme="minorEastAsia" w:hAnsiTheme="minorEastAsia" w:eastAsiaTheme="minorEastAsia"/>
          <w:b/>
          <w:color w:val="000000"/>
          <w:kern w:val="0"/>
          <w:sz w:val="36"/>
          <w:szCs w:val="36"/>
        </w:rPr>
      </w:pPr>
      <w:r>
        <w:rPr>
          <w:rFonts w:hint="eastAsia" w:cs="宋体" w:asciiTheme="minorEastAsia" w:hAnsiTheme="minorEastAsia" w:eastAsiaTheme="minorEastAsia"/>
          <w:b/>
          <w:color w:val="000000"/>
          <w:kern w:val="0"/>
          <w:sz w:val="36"/>
          <w:szCs w:val="36"/>
        </w:rPr>
        <w:t>第三部分 2016年度部门决算情况说明</w:t>
      </w:r>
    </w:p>
    <w:p>
      <w:pPr>
        <w:widowControl/>
        <w:spacing w:line="360" w:lineRule="auto"/>
        <w:ind w:firstLine="720" w:firstLineChars="200"/>
        <w:rPr>
          <w:rFonts w:cs="宋体" w:asciiTheme="minorEastAsia" w:hAnsiTheme="minorEastAsia" w:eastAsiaTheme="minorEastAsia"/>
          <w:color w:val="000000"/>
          <w:kern w:val="0"/>
          <w:sz w:val="36"/>
          <w:szCs w:val="36"/>
        </w:rPr>
      </w:pPr>
    </w:p>
    <w:p>
      <w:pPr>
        <w:pStyle w:val="8"/>
        <w:widowControl/>
        <w:numPr>
          <w:ilvl w:val="0"/>
          <w:numId w:val="1"/>
        </w:numPr>
        <w:spacing w:line="360" w:lineRule="auto"/>
        <w:ind w:firstLineChars="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收入支出决算总体情况说明</w:t>
      </w:r>
    </w:p>
    <w:p>
      <w:pPr>
        <w:widowControl/>
        <w:spacing w:line="360" w:lineRule="auto"/>
        <w:ind w:firstLine="6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2016年度上年结转和结余8107.3万元，决算收入24361.23万元,决算支出29893.97万元，用事业基金弥补收支差额0万元，结余分配0万元，年末结转和结余2574.55万元。</w:t>
      </w:r>
    </w:p>
    <w:p>
      <w:pPr>
        <w:widowControl/>
        <w:spacing w:line="360" w:lineRule="auto"/>
        <w:ind w:firstLine="6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年度收入 24361.23万元，其中：财政拨款收入 23334.09万元，占总收入的 95.78%；事业收入 944.18万元，占总收入的 3.88%；其他收入82.96 万元，占总收入的 0.34%。</w:t>
      </w:r>
    </w:p>
    <w:p>
      <w:pPr>
        <w:widowControl/>
        <w:spacing w:line="360" w:lineRule="auto"/>
        <w:ind w:firstLine="6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年度支出 29893.97万元，其中：一般公共服务支出 1027.42 万元，占总支出的3.44%；社会保障和就业支出400.43万元，占总支出的1.34%；医疗卫生与计划生育支出 14.71 万元，占总支出的0.05%；城乡社区支出 1985.96万元，占总支出的 6.64%；住房保障支出 26465.44万元，占总支出的 88.53%。</w:t>
      </w:r>
    </w:p>
    <w:p>
      <w:pPr>
        <w:spacing w:line="580" w:lineRule="atLeast"/>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2015年度决算收入总计19801.01万元，决算支出总计5870.25万元，与2015年度收入支出决算比较，2016年度决算收入增加4560.22万元，比上年增加23.03%。2016年度决算支出增加24023.72万元，比上年增加409.25%。2016年度收入支出都较上年度增加的主要原因是财政拨专项收入的增加（主要是财政拨用于购买商品房作为公租房和廉租房的专项资金）</w:t>
      </w:r>
    </w:p>
    <w:p>
      <w:pPr>
        <w:spacing w:line="580" w:lineRule="atLeast"/>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年度预算收入总计15149.98万元，预算支出总计15149.98万元，与2016年度决算收入支出比较，2016年度决算收入增加9211.25万元，增加60.80%；2016年度决算支出增加14743.99万元，增加97.32%。2016年度决算收入支出比2016年度预算收入支出增加的主要原因是财政拨专项收入的增加（主要是财政拨用于购买商品房作为公租房和廉租房的专项资金）</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二、收入决算情况说明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年度收入24361.23万元，其中：财政拨款收入23334.09万元，占总收入的95.78%；事业收入944.18万元，占总收入的3.88%；其他收入82.96万元，占总收入的0.34%。</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与2016年年初预算数相比，收入增加9211.25万元 ，增加60.80%，其中：财政拨款收入增加8184.11万元，增加54.02%；事业收入增加944.18万元；其他收入增加82.96万元。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与2015年度相比，收入增加4551.23万元，增加22.97%，其中：财政拨款收入增加5103.48万元，增加27.99%；事收入增加187.97万元，增加24.86%；其他收入减少740.23万元，减少89.92%。</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2016年度收入较上年大幅增长的主要原因是财政拨专项收入的增加（主要是财政拨用于购买商品房作为公租房和廉租房的专项资金）</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w:t>
      </w:r>
      <w:r>
        <w:rPr>
          <w:rFonts w:hint="eastAsia" w:cs="宋体" w:asciiTheme="minorEastAsia" w:hAnsiTheme="minorEastAsia" w:eastAsiaTheme="minorEastAsia"/>
          <w:b/>
          <w:color w:val="000000"/>
          <w:kern w:val="0"/>
          <w:sz w:val="30"/>
          <w:szCs w:val="30"/>
        </w:rPr>
        <w:t>支出决算情况说明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2016年度支出29893.97万元，其中：基本支出2551.85万元，占总支出的8.54%；项目支出27339.12万元，占总支出的 91.45%；对附属单位补助支出3万元，占总支出的0.01%。</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与2016年年初预算数相比，支出增加14743.99万元，增加97.32%；其中，基本支出增加1158.71万元，增加83.17%；项目支出增加13582.28万元，增加98.73%；对附属单位补助支出增加3万元。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与2015年度相比，支出增加24023.72万元，增加409.25%，其中：基本支出减少139.98万元，减少5.2%；项目支出增加24305.7万元，增加 801.26%；对附属单位补助支出减少142万元，减少97.93%。</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年度支出较上年大幅增长的主要原因是财政拨专项支出的增加（主要是财政拨用于购买商品房作为公租房和廉租房的专项资金）</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四、财政拨款收入支出决算总体情况说明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年初批复财政拨款预算收入15149.98万元。其中：一般公共预算拨款15149.98万元，经过调整后，最终全年财政拨款预算收入23334.09万元，其中：一般公共预算拨款23214.09万元，基金收入120万元。预算调整的主要原因是财政拨专项支出的增加（主要是财政拨用于购买商品房作为公租房和廉租房的专项资金）。</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年度财政拨款收入决算23334.09万元，其中：一般公共预算拨款23214.09万元，基金预算财政拨款120万元。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与2016年年初预算相比，财政拨款收入数增加8184.11万元，增加54.02%，其中：一般公共预算拨款增加8064.11万元，增加53.23%；基金预算财政拨款增加120万元。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与2015年相比，财政拨款收入增加5103.48万元，增加 27.99%，其中：一般公共预算拨款增加5905.29万元，增加34.12%；基金预算财政拨款减少801.81万元，减少86.98%。</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财政拨款支出决算28866.83万元，其中：一般公共预算拨款28746.83万元，基金预算财政拨款120万元。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与2016年年初预算数相比，财政拨款支出增加13716.85万元，增加90.54%，其中：一般公共预算拨款增加13596.85万元，增加89.75%；基金预算财政拨款增加120万元。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与上年相比，财政拨款支出增加24575.98万元，增加572.75%。2016 年度财政拨款收支较上年大幅增长的主要原因是财政拨专项支出的增加（主要是财政拨用于购买商品房作为公租房和廉租房的专项资金）。</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财政拨款年初结转和结余 8107.3万元，年末结转和结余 2574.55万元。</w:t>
      </w:r>
    </w:p>
    <w:p>
      <w:pPr>
        <w:widowControl/>
        <w:spacing w:line="360" w:lineRule="auto"/>
        <w:ind w:firstLine="602" w:firstLineChars="20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五、“三公”经费支出决算情况说明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年度“三公”经费支出共计 24.76 万元，与 2015 年度对比，总支出增加12.41万元；与预算对比，总支出增加12.33万元。现将一般公共预算财政拨款“三公”经费支出决算情况说明如下：2016 年度一般公共预算财政拨款“三公”经费支出共计24.76万元，与 2015 年度对比，总支出增加了12.41万元。这主要是由于“三公”经费支出汇总的单位增加。2015年决算中的“三公”经费支出只包含房管局机关一个单位，但在2016年决算中的“三公”经费支出不仅包含了房管局机关的支出，还包含了保障房管理中心、房产稽查队和运营公司专项工作经费中的“三公”经费支出。</w:t>
      </w:r>
    </w:p>
    <w:p>
      <w:pPr>
        <w:widowControl/>
        <w:spacing w:line="360" w:lineRule="auto"/>
        <w:ind w:firstLine="602" w:firstLineChars="20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“三公”经费支出 2015 年度、2016 年度对比明细表</w:t>
      </w:r>
    </w:p>
    <w:p>
      <w:pPr>
        <w:widowControl/>
        <w:spacing w:line="360" w:lineRule="auto"/>
        <w:ind w:firstLine="602" w:firstLineChars="200"/>
        <w:jc w:val="left"/>
        <w:rPr>
          <w:rFonts w:asciiTheme="minorEastAsia" w:hAnsiTheme="minorEastAsia" w:eastAsiaTheme="minorEastAsia"/>
          <w:szCs w:val="21"/>
        </w:rPr>
      </w:pPr>
      <w:r>
        <w:rPr>
          <w:rFonts w:hint="eastAsia" w:asciiTheme="minorEastAsia" w:hAnsiTheme="minorEastAsia" w:eastAsiaTheme="minorEastAsia"/>
          <w:b/>
          <w:sz w:val="30"/>
          <w:szCs w:val="30"/>
        </w:rPr>
        <w:t xml:space="preserve">                                            </w:t>
      </w:r>
      <w:r>
        <w:rPr>
          <w:rFonts w:hint="eastAsia" w:asciiTheme="minorEastAsia" w:hAnsiTheme="minorEastAsia" w:eastAsiaTheme="minorEastAsia"/>
          <w:szCs w:val="21"/>
        </w:rPr>
        <w:t>单位：元</w:t>
      </w:r>
    </w:p>
    <w:tbl>
      <w:tblPr>
        <w:tblStyle w:val="6"/>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1843"/>
        <w:gridCol w:w="1984"/>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“三公” 经费</w:t>
            </w:r>
          </w:p>
        </w:tc>
        <w:tc>
          <w:tcPr>
            <w:tcW w:w="1843"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2016 年支出</w:t>
            </w:r>
          </w:p>
        </w:tc>
        <w:tc>
          <w:tcPr>
            <w:tcW w:w="1984"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2015 年支出</w:t>
            </w:r>
          </w:p>
        </w:tc>
        <w:tc>
          <w:tcPr>
            <w:tcW w:w="2977"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2016 年与 2015 年对比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因公出国（境）支出</w:t>
            </w:r>
          </w:p>
        </w:tc>
        <w:tc>
          <w:tcPr>
            <w:tcW w:w="1843"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1984"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2977"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公务用车运行维护费</w:t>
            </w:r>
          </w:p>
        </w:tc>
        <w:tc>
          <w:tcPr>
            <w:tcW w:w="1843"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23.44</w:t>
            </w:r>
          </w:p>
        </w:tc>
        <w:tc>
          <w:tcPr>
            <w:tcW w:w="1984"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11.2</w:t>
            </w:r>
          </w:p>
        </w:tc>
        <w:tc>
          <w:tcPr>
            <w:tcW w:w="2977"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公务接待费</w:t>
            </w:r>
          </w:p>
        </w:tc>
        <w:tc>
          <w:tcPr>
            <w:tcW w:w="1843"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1.32</w:t>
            </w:r>
          </w:p>
        </w:tc>
        <w:tc>
          <w:tcPr>
            <w:tcW w:w="1984"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1.15</w:t>
            </w:r>
          </w:p>
        </w:tc>
        <w:tc>
          <w:tcPr>
            <w:tcW w:w="2977"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合计</w:t>
            </w:r>
          </w:p>
        </w:tc>
        <w:tc>
          <w:tcPr>
            <w:tcW w:w="1843"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24.76</w:t>
            </w:r>
          </w:p>
        </w:tc>
        <w:tc>
          <w:tcPr>
            <w:tcW w:w="1984"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12.35</w:t>
            </w:r>
          </w:p>
        </w:tc>
        <w:tc>
          <w:tcPr>
            <w:tcW w:w="2977"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12.41</w:t>
            </w:r>
          </w:p>
        </w:tc>
      </w:tr>
    </w:tbl>
    <w:p>
      <w:pPr>
        <w:widowControl/>
        <w:spacing w:line="360" w:lineRule="auto"/>
        <w:ind w:firstLine="600" w:firstLineChars="200"/>
        <w:jc w:val="left"/>
        <w:rPr>
          <w:rFonts w:cs="宋体" w:asciiTheme="minorEastAsia" w:hAnsiTheme="minorEastAsia" w:eastAsiaTheme="minorEastAsia"/>
          <w:color w:val="000000"/>
          <w:kern w:val="0"/>
          <w:sz w:val="30"/>
          <w:szCs w:val="30"/>
        </w:rPr>
      </w:pP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一般公共预算财政拨款“三公”经费实际支出，与预算对比，增加12.33万元。其中接待费增加0.09万元，公务用车运行维护费增加12.24万元。这主要是由于“三公”经费支出汇总的单位增加。2015年决算中的“三公”经费支出只包含房管局机关一个单位，但在2016年决算中的“三公”经费支出不仅包含了房管局机关的支出，还包含了保障房管理中心、房产稽查队和运营公司专项工作经费中的“三公”经费支出。</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2016 年度“三公”经费支出预决算对比明细表</w:t>
      </w:r>
    </w:p>
    <w:p>
      <w:pPr>
        <w:widowControl/>
        <w:spacing w:line="360" w:lineRule="auto"/>
        <w:ind w:firstLine="60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 w:val="30"/>
          <w:szCs w:val="30"/>
        </w:rPr>
        <w:t xml:space="preserve">                                         </w:t>
      </w:r>
      <w:r>
        <w:rPr>
          <w:rFonts w:hint="eastAsia" w:cs="宋体" w:asciiTheme="minorEastAsia" w:hAnsiTheme="minorEastAsia" w:eastAsiaTheme="minorEastAsia"/>
          <w:color w:val="000000"/>
          <w:kern w:val="0"/>
          <w:szCs w:val="21"/>
        </w:rPr>
        <w:t>单位：元</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“三公” 经费</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2016 年实际支出</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2016 年预算</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预决算对比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因公出国（境）支出</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2131" w:type="dxa"/>
          </w:tcPr>
          <w:p>
            <w:pPr>
              <w:widowControl/>
              <w:spacing w:line="360" w:lineRule="auto"/>
              <w:jc w:val="center"/>
              <w:rPr>
                <w:rFonts w:cs="宋体" w:asciiTheme="minorEastAsia" w:hAnsiTheme="minorEastAsia" w:eastAsiaTheme="minorEastAsia"/>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公务用车运行维护费</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23.44</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11.2</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公务接待费</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1.32</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1.23</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合计</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24.76</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12.43</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12.33</w:t>
            </w:r>
          </w:p>
        </w:tc>
      </w:tr>
    </w:tbl>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说明：1、因公出国（境）团组情况：我单位2016年未发生因公出国（境）支出。</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2、公务用车购置及保有情况：2016 年度购置公务用车 0 辆，局机关及2个预算</w:t>
      </w:r>
      <w:r>
        <w:rPr>
          <w:rFonts w:hint="eastAsia" w:asciiTheme="minorEastAsia" w:hAnsiTheme="minorEastAsia" w:eastAsiaTheme="minorEastAsia"/>
          <w:sz w:val="30"/>
          <w:szCs w:val="30"/>
        </w:rPr>
        <w:t>单位公务用车</w:t>
      </w:r>
      <w:r>
        <w:rPr>
          <w:rFonts w:hint="eastAsia" w:cs="宋体" w:asciiTheme="minorEastAsia" w:hAnsiTheme="minorEastAsia" w:eastAsiaTheme="minorEastAsia"/>
          <w:color w:val="000000"/>
          <w:kern w:val="0"/>
          <w:sz w:val="30"/>
          <w:szCs w:val="30"/>
        </w:rPr>
        <w:t>保有量为7辆。单位公务用车国有资产占用情况为10辆，其中有3辆车已经参加了车改，</w:t>
      </w:r>
      <w:r>
        <w:rPr>
          <w:rFonts w:hint="eastAsia" w:asciiTheme="minorEastAsia" w:hAnsiTheme="minorEastAsia" w:eastAsiaTheme="minorEastAsia"/>
          <w:sz w:val="30"/>
          <w:szCs w:val="30"/>
        </w:rPr>
        <w:t>一般公务用车8辆，其他用车2辆，是吸污车；</w:t>
      </w:r>
      <w:r>
        <w:rPr>
          <w:rFonts w:hint="eastAsia" w:cs="宋体" w:asciiTheme="minorEastAsia" w:hAnsiTheme="minorEastAsia" w:eastAsiaTheme="minorEastAsia"/>
          <w:color w:val="000000"/>
          <w:kern w:val="0"/>
          <w:sz w:val="30"/>
          <w:szCs w:val="30"/>
        </w:rPr>
        <w:t>与 2015 年度相比，减少了3辆，主要原因是局机关实施了车改。</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3、2016 年度使用公共财政拨款安排公务接待 28批次，103 人次，与2015 年度相比，接待费增加0.09 万元。这主要是由于“三公”经费支出汇总的单位增加。2015年决算中的“三公”经费支出只包含房管局机关一个单位，但在2016年决算中的“三公”经费支出不仅包含了房管局机关的支出，还包含了保障房管理中心、房产稽查队和运营公司专项工作经费中的“三公”经费支出。但局机关的“三公”经费是下降的，原因主要是认真贯彻落实中央八项规定和省委省政府要求，切实采取措施进一步压缩“三公”经费支出。</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六、预算绩效管理工作开展情况说明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按照建立全面规范、公开透明的政府预算管理制度要求，我局不断完善绩效预算管理机制。2016年，根据市政府推进绩效预算管理工作的要求，我局重新修订完善“部门职责--工作活动”预算架构。在2016年的目标绩效管理考评为“良好”。总体来看，我局不断强化依法理财、科学理财的意识，以绩效为导向，预算支出管理较为规范，能按照有关规章制度开展工作；重大支出项目立项规范，资金到位及时，资金使用较合理规范，实现了部门职责绩效目标。</w:t>
      </w:r>
    </w:p>
    <w:p>
      <w:pPr>
        <w:widowControl/>
        <w:spacing w:line="360" w:lineRule="auto"/>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七、其他重要事项的说明</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(一)机关运行经费情况</w:t>
      </w:r>
      <w:bookmarkStart w:id="0" w:name="_GoBack"/>
      <w:bookmarkEnd w:id="0"/>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 年度本部门机关运行经费支出 895.73 万元，比 2015 年度减少421.88 万元，减少32%。主要原因是我单位认真贯彻落实中央八项规定和省委省政府要求，严格控制各项支出，厉行节约。</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（二）政府采购情况</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2016年未发生政府采购。</w:t>
      </w:r>
    </w:p>
    <w:p>
      <w:pPr>
        <w:widowControl/>
        <w:spacing w:line="360" w:lineRule="auto"/>
        <w:ind w:firstLine="602" w:firstLineChars="20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（三）国有资产占用情况</w:t>
      </w:r>
    </w:p>
    <w:p>
      <w:pPr>
        <w:widowControl/>
        <w:spacing w:line="360" w:lineRule="auto"/>
        <w:ind w:firstLine="600" w:firstLineChars="200"/>
        <w:jc w:val="left"/>
        <w:rPr>
          <w:rFonts w:asciiTheme="minorEastAsia" w:hAnsiTheme="minorEastAsia" w:eastAsiaTheme="minorEastAsia"/>
          <w:sz w:val="30"/>
          <w:szCs w:val="30"/>
        </w:rPr>
      </w:pPr>
      <w:r>
        <w:rPr>
          <w:rFonts w:hint="eastAsia" w:asciiTheme="minorEastAsia" w:hAnsiTheme="minorEastAsia" w:eastAsiaTheme="minorEastAsia"/>
          <w:sz w:val="30"/>
          <w:szCs w:val="30"/>
        </w:rPr>
        <w:t>截至2016年12月31日，本部门共有车辆10辆，一般公务用车8辆，其他用车2辆，是吸污车，主要用于吸污；单位价值100万元以上大型设备2套。</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asciiTheme="minorEastAsia" w:hAnsiTheme="minorEastAsia" w:eastAsiaTheme="minorEastAsia"/>
          <w:b/>
          <w:sz w:val="30"/>
          <w:szCs w:val="30"/>
        </w:rPr>
        <w:t>（四）其他需要说明的情况</w:t>
      </w:r>
    </w:p>
    <w:p>
      <w:pPr>
        <w:spacing w:line="360" w:lineRule="auto"/>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1、2016 年度国有资本经营预算财政拨款上年结转和结余 0 万元，本年收入 0 万元，本年支出 0 万元，年末结转和结余 0 万元。因此，2016 年度国有资本经营预算财政拨款收入支出决算表为空。</w:t>
      </w:r>
    </w:p>
    <w:p>
      <w:pPr>
        <w:spacing w:line="360" w:lineRule="auto"/>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2、2016 年度政府采购无支出，因此，2016年度政府采购情况表为空。</w:t>
      </w:r>
    </w:p>
    <w:p>
      <w:pPr>
        <w:spacing w:line="360" w:lineRule="auto"/>
        <w:ind w:firstLine="602" w:firstLineChars="200"/>
        <w:jc w:val="center"/>
        <w:rPr>
          <w:rFonts w:cs="宋体" w:asciiTheme="minorEastAsia" w:hAnsiTheme="minorEastAsia" w:eastAsiaTheme="minorEastAsia"/>
          <w:b/>
          <w:color w:val="000000"/>
          <w:kern w:val="0"/>
          <w:sz w:val="30"/>
          <w:szCs w:val="30"/>
        </w:rPr>
      </w:pPr>
    </w:p>
    <w:p>
      <w:pPr>
        <w:spacing w:line="360" w:lineRule="auto"/>
        <w:ind w:firstLine="602" w:firstLineChars="200"/>
        <w:jc w:val="center"/>
        <w:rPr>
          <w:rFonts w:cs="宋体" w:asciiTheme="minorEastAsia" w:hAnsiTheme="minorEastAsia" w:eastAsiaTheme="minorEastAsia"/>
          <w:b/>
          <w:color w:val="000000"/>
          <w:kern w:val="0"/>
          <w:sz w:val="30"/>
          <w:szCs w:val="30"/>
        </w:rPr>
      </w:pPr>
    </w:p>
    <w:p>
      <w:pPr>
        <w:spacing w:line="360" w:lineRule="auto"/>
        <w:ind w:firstLine="602" w:firstLineChars="200"/>
        <w:jc w:val="center"/>
        <w:rPr>
          <w:rFonts w:cs="宋体" w:asciiTheme="minorEastAsia" w:hAnsiTheme="minorEastAsia" w:eastAsiaTheme="minorEastAsia"/>
          <w:b/>
          <w:color w:val="000000"/>
          <w:kern w:val="0"/>
          <w:sz w:val="30"/>
          <w:szCs w:val="30"/>
        </w:rPr>
      </w:pPr>
    </w:p>
    <w:p>
      <w:pPr>
        <w:spacing w:line="360" w:lineRule="auto"/>
        <w:ind w:firstLine="602" w:firstLineChars="200"/>
        <w:jc w:val="center"/>
        <w:rPr>
          <w:rFonts w:cs="宋体" w:asciiTheme="minorEastAsia" w:hAnsiTheme="minorEastAsia" w:eastAsiaTheme="minorEastAsia"/>
          <w:b/>
          <w:color w:val="000000"/>
          <w:kern w:val="0"/>
          <w:sz w:val="30"/>
          <w:szCs w:val="30"/>
        </w:rPr>
      </w:pPr>
    </w:p>
    <w:p>
      <w:pPr>
        <w:spacing w:line="360" w:lineRule="auto"/>
        <w:ind w:firstLine="723" w:firstLineChars="200"/>
        <w:jc w:val="center"/>
        <w:rPr>
          <w:rFonts w:cs="宋体" w:asciiTheme="minorEastAsia" w:hAnsiTheme="minorEastAsia" w:eastAsiaTheme="minorEastAsia"/>
          <w:b/>
          <w:color w:val="000000"/>
          <w:kern w:val="0"/>
          <w:sz w:val="36"/>
          <w:szCs w:val="36"/>
        </w:rPr>
      </w:pPr>
      <w:r>
        <w:rPr>
          <w:rFonts w:hint="eastAsia" w:cs="宋体" w:asciiTheme="minorEastAsia" w:hAnsiTheme="minorEastAsia" w:eastAsiaTheme="minorEastAsia"/>
          <w:b/>
          <w:color w:val="000000"/>
          <w:kern w:val="0"/>
          <w:sz w:val="36"/>
          <w:szCs w:val="36"/>
        </w:rPr>
        <w:t>第四部分 名词解释</w:t>
      </w:r>
    </w:p>
    <w:p>
      <w:pPr>
        <w:spacing w:line="360" w:lineRule="auto"/>
        <w:ind w:firstLine="720" w:firstLineChars="200"/>
        <w:jc w:val="center"/>
        <w:rPr>
          <w:rFonts w:cs="宋体" w:asciiTheme="minorEastAsia" w:hAnsiTheme="minorEastAsia" w:eastAsiaTheme="minorEastAsia"/>
          <w:color w:val="000000"/>
          <w:kern w:val="0"/>
          <w:sz w:val="36"/>
          <w:szCs w:val="36"/>
        </w:rPr>
      </w:pP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（一）财政拨款收入：本年度从本级财政部门取得的财政拨款，包括一般公共预算财政拨款和政府性基金预算财政拨款。</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（二）事业收入：指事业单位开展专业业务活动及辅助活动所取得的收入。</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（三）其他收入：指除上述“财政拨款收入”、“事业收入”、“经营收入”等以外的收入。</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四）用事业基金弥补收支差额：指事业单位在用当年的“财政拨款收入”、“财政拨款结转和结余资金”、“事业收入”、“经营收入”、“其他收入”不足以安排当年支出的情况下，使用以前年度积累的事业基金（事业单位当年收支相抵后按国家规定提取、用于弥补以后年度收支差额的基金）弥补本年度收支缺口的资金。</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（五）年初结转和结余：指以前年度尚未完成、结转到本年仍按原规定用途继续使用的资金，或项目已完成等产生的结余资金。</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（六）结余分配：指事业单位按照事业单位会计制度的规定从非财政补助结余中分配的事业基金和职工福利基金等。</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（七）年末结转和结余：指单位按有关规定结转到下年或以后年度继续使用的资金，或项目已完成等产生的结余资金。</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（八）基本支出：填列单位为保障机构正常运转、完成日常工作任务而发生的各项支出。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（九）项目支出：填列单位为完成特定的行政工作任务或事业发展目标，在基本支出之外发生的各项支出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基本建设支出：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（十一）其他资本性支出：填列由各级非发展与改革部门集中安排的用于购置固定资产、战备性和应急性储备、土地和无形资产，以及购建基础设施、大型修缮和财政支持企业更新改造所发生的支出。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二）“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租用费、燃料费、维修费、过路过桥费、保险费、安全奖励费用等支出；公务接待费反映单位按规定开支的各类公务接待（含外宾接待）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（十三）其他交通费用：填列单位除公务用车运行维护费以外的其他交通费用。如飞机、船舶等的燃料费、维修费、过桥过路费、保险费、出租车费用、公务交通补贴等。</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（十四）公务用车购置：填列单位公务用车车辆购置支出（含车辆购置税）。</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（十五）其他交通工具购置：填列单位除公务用车外的其他各类交通工具（如船舶、飞机）购置支出（含车辆购置税）。</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（十六） 机关运行经费：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pPr>
        <w:spacing w:line="360" w:lineRule="auto"/>
        <w:ind w:firstLine="600" w:firstLineChars="200"/>
        <w:rPr>
          <w:rFonts w:cs="宋体" w:asciiTheme="minorEastAsia" w:hAnsiTheme="minorEastAsia" w:eastAsiaTheme="minorEastAsia"/>
          <w:color w:val="000000"/>
          <w:kern w:val="0"/>
          <w:sz w:val="30"/>
          <w:szCs w:val="30"/>
        </w:rPr>
      </w:pPr>
    </w:p>
    <w:sectPr>
      <w:pgSz w:w="11906" w:h="16838"/>
      <w:pgMar w:top="1440" w:right="1797"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7467AD"/>
    <w:multiLevelType w:val="multilevel"/>
    <w:tmpl w:val="387467AD"/>
    <w:lvl w:ilvl="0" w:tentative="0">
      <w:start w:val="1"/>
      <w:numFmt w:val="none"/>
      <w:lvlText w:val="一、"/>
      <w:lvlJc w:val="left"/>
      <w:pPr>
        <w:ind w:left="1322" w:hanging="720"/>
      </w:pPr>
      <w:rPr>
        <w:rFonts w:hint="default"/>
      </w:rPr>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RiMTYxYTJhYzUxZTJjZjYxYTNiNjM5Y2RmNjUyZTAifQ=="/>
  </w:docVars>
  <w:rsids>
    <w:rsidRoot w:val="00465DF6"/>
    <w:rsid w:val="00044607"/>
    <w:rsid w:val="0008386A"/>
    <w:rsid w:val="000928CB"/>
    <w:rsid w:val="000F09F1"/>
    <w:rsid w:val="0011733F"/>
    <w:rsid w:val="00156C9D"/>
    <w:rsid w:val="00225EBE"/>
    <w:rsid w:val="00291020"/>
    <w:rsid w:val="00304DE1"/>
    <w:rsid w:val="003C5341"/>
    <w:rsid w:val="003F7E39"/>
    <w:rsid w:val="004410EF"/>
    <w:rsid w:val="00465DF6"/>
    <w:rsid w:val="004B15BC"/>
    <w:rsid w:val="00500C2A"/>
    <w:rsid w:val="00535E32"/>
    <w:rsid w:val="00554849"/>
    <w:rsid w:val="005C519E"/>
    <w:rsid w:val="005C58F7"/>
    <w:rsid w:val="00654FBA"/>
    <w:rsid w:val="0066282C"/>
    <w:rsid w:val="00670D32"/>
    <w:rsid w:val="00786568"/>
    <w:rsid w:val="007952F9"/>
    <w:rsid w:val="007A5486"/>
    <w:rsid w:val="007B327C"/>
    <w:rsid w:val="007C5D62"/>
    <w:rsid w:val="007D5169"/>
    <w:rsid w:val="007E3FFA"/>
    <w:rsid w:val="00842B56"/>
    <w:rsid w:val="00866C39"/>
    <w:rsid w:val="008A65C8"/>
    <w:rsid w:val="008B46B9"/>
    <w:rsid w:val="008D24E8"/>
    <w:rsid w:val="008D3CBC"/>
    <w:rsid w:val="008D5CD1"/>
    <w:rsid w:val="008E3EB8"/>
    <w:rsid w:val="008E57CE"/>
    <w:rsid w:val="00915D8A"/>
    <w:rsid w:val="00943E96"/>
    <w:rsid w:val="00950649"/>
    <w:rsid w:val="0098774A"/>
    <w:rsid w:val="00992CE5"/>
    <w:rsid w:val="009952C1"/>
    <w:rsid w:val="009A10D6"/>
    <w:rsid w:val="009B4165"/>
    <w:rsid w:val="00A17ED5"/>
    <w:rsid w:val="00AB456F"/>
    <w:rsid w:val="00AB471B"/>
    <w:rsid w:val="00AC7CE1"/>
    <w:rsid w:val="00AD2439"/>
    <w:rsid w:val="00AE3F38"/>
    <w:rsid w:val="00B06FAE"/>
    <w:rsid w:val="00B44AD2"/>
    <w:rsid w:val="00C61163"/>
    <w:rsid w:val="00C6297F"/>
    <w:rsid w:val="00C767C1"/>
    <w:rsid w:val="00C9293D"/>
    <w:rsid w:val="00CA34E4"/>
    <w:rsid w:val="00D052A6"/>
    <w:rsid w:val="00D5282C"/>
    <w:rsid w:val="00E64804"/>
    <w:rsid w:val="00E94DDE"/>
    <w:rsid w:val="00EB6962"/>
    <w:rsid w:val="00EE7200"/>
    <w:rsid w:val="00F01FE1"/>
    <w:rsid w:val="00F053E0"/>
    <w:rsid w:val="00F300E2"/>
    <w:rsid w:val="00F8642E"/>
    <w:rsid w:val="00FD1A63"/>
    <w:rsid w:val="00FF45B7"/>
    <w:rsid w:val="0BDC16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11"/>
    <w:semiHidden/>
    <w:unhideWhenUsed/>
    <w:uiPriority w:val="99"/>
    <w:pPr>
      <w:tabs>
        <w:tab w:val="center" w:pos="4153"/>
        <w:tab w:val="right" w:pos="8306"/>
      </w:tabs>
      <w:snapToGrid w:val="0"/>
      <w:jc w:val="left"/>
    </w:pPr>
    <w:rPr>
      <w:sz w:val="18"/>
      <w:szCs w:val="18"/>
    </w:rPr>
  </w:style>
  <w:style w:type="paragraph" w:styleId="4">
    <w:name w:val="header"/>
    <w:basedOn w:val="1"/>
    <w:link w:val="10"/>
    <w:semiHidden/>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firstLine="420" w:firstLineChars="200"/>
    </w:pPr>
  </w:style>
  <w:style w:type="character" w:customStyle="1" w:styleId="9">
    <w:name w:val="批注框文本 Char"/>
    <w:basedOn w:val="7"/>
    <w:link w:val="2"/>
    <w:semiHidden/>
    <w:uiPriority w:val="99"/>
    <w:rPr>
      <w:rFonts w:ascii="Calibri" w:hAnsi="Calibri" w:eastAsia="宋体" w:cs="Times New Roman"/>
      <w:sz w:val="18"/>
      <w:szCs w:val="18"/>
    </w:rPr>
  </w:style>
  <w:style w:type="character" w:customStyle="1" w:styleId="10">
    <w:name w:val="页眉 Char"/>
    <w:basedOn w:val="7"/>
    <w:link w:val="4"/>
    <w:semiHidden/>
    <w:uiPriority w:val="99"/>
    <w:rPr>
      <w:rFonts w:ascii="Calibri" w:hAnsi="Calibri" w:eastAsia="宋体" w:cs="Times New Roman"/>
      <w:sz w:val="18"/>
      <w:szCs w:val="18"/>
    </w:rPr>
  </w:style>
  <w:style w:type="character" w:customStyle="1" w:styleId="11">
    <w:name w:val="页脚 Char"/>
    <w:basedOn w:val="7"/>
    <w:link w:val="3"/>
    <w:semiHidden/>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64D6497-3639-46D8-A1EF-24350215852B}">
  <ds:schemaRefs/>
</ds:datastoreItem>
</file>

<file path=docProps/app.xml><?xml version="1.0" encoding="utf-8"?>
<Properties xmlns="http://schemas.openxmlformats.org/officeDocument/2006/extended-properties" xmlns:vt="http://schemas.openxmlformats.org/officeDocument/2006/docPropsVTypes">
  <Template>Normal</Template>
  <Pages>14</Pages>
  <Words>5689</Words>
  <Characters>6600</Characters>
  <Lines>49</Lines>
  <Paragraphs>13</Paragraphs>
  <TotalTime>506</TotalTime>
  <ScaleCrop>false</ScaleCrop>
  <LinksUpToDate>false</LinksUpToDate>
  <CharactersWithSpaces>6773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2017-11-02T05:56:00Z</dcterms:created>
  <dc:creator>xb21cn</dc:creator>
  <cp:lastModifiedBy>WPS_1338247543</cp:lastModifiedBy>
  <cp:lastPrinted>2017-11-09T08:07:00Z</cp:lastPrinted>
  <dcterms:modified xsi:type="dcterms:W3CDTF">2023-03-15T07:21:25Z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F73C3C1C0B25433890F45BF1A1B43281</vt:lpwstr>
  </property>
</Properties>
</file>